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EA8C2">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32"/>
          <w:szCs w:val="32"/>
          <w:lang w:val="en-US" w:eastAsia="zh-CN"/>
        </w:rPr>
        <w:t>放射医疗设备维保条款</w:t>
      </w:r>
    </w:p>
    <w:p w14:paraId="080F3AE4">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p>
    <w:p w14:paraId="7B5BF976">
      <w:pPr>
        <w:numPr>
          <w:ilvl w:val="0"/>
          <w:numId w:val="1"/>
        </w:numPr>
        <w:tabs>
          <w:tab w:val="left" w:pos="243"/>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保修类型：全保服务  </w:t>
      </w:r>
    </w:p>
    <w:p w14:paraId="45840B94">
      <w:pPr>
        <w:tabs>
          <w:tab w:val="left" w:pos="243"/>
        </w:tabs>
        <w:spacing w:line="360" w:lineRule="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1.设备名称及型号：</w:t>
      </w:r>
    </w:p>
    <w:tbl>
      <w:tblPr>
        <w:tblStyle w:val="9"/>
        <w:tblpPr w:leftFromText="180" w:rightFromText="180" w:vertAnchor="text" w:horzAnchor="page" w:tblpX="1914" w:tblpY="188"/>
        <w:tblOverlap w:val="never"/>
        <w:tblW w:w="0" w:type="auto"/>
        <w:tblInd w:w="0" w:type="dxa"/>
        <w:tblLayout w:type="fixed"/>
        <w:tblCellMar>
          <w:top w:w="0" w:type="dxa"/>
          <w:left w:w="108" w:type="dxa"/>
          <w:bottom w:w="0" w:type="dxa"/>
          <w:right w:w="108" w:type="dxa"/>
        </w:tblCellMar>
      </w:tblPr>
      <w:tblGrid>
        <w:gridCol w:w="928"/>
        <w:gridCol w:w="4359"/>
        <w:gridCol w:w="2932"/>
      </w:tblGrid>
      <w:tr w14:paraId="36129894">
        <w:tblPrEx>
          <w:tblCellMar>
            <w:top w:w="0" w:type="dxa"/>
            <w:left w:w="108" w:type="dxa"/>
            <w:bottom w:w="0" w:type="dxa"/>
            <w:right w:w="108" w:type="dxa"/>
          </w:tblCellMar>
        </w:tblPrEx>
        <w:trPr>
          <w:trHeight w:val="491" w:hRule="atLeast"/>
        </w:trPr>
        <w:tc>
          <w:tcPr>
            <w:tcW w:w="928" w:type="dxa"/>
            <w:tcBorders>
              <w:top w:val="single" w:color="auto" w:sz="4" w:space="0"/>
              <w:left w:val="single" w:color="auto" w:sz="4" w:space="0"/>
              <w:bottom w:val="single" w:color="auto" w:sz="4" w:space="0"/>
              <w:right w:val="single" w:color="auto" w:sz="4" w:space="0"/>
            </w:tcBorders>
            <w:noWrap/>
            <w:vAlign w:val="center"/>
          </w:tcPr>
          <w:p w14:paraId="1941126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4359" w:type="dxa"/>
            <w:tcBorders>
              <w:top w:val="single" w:color="auto" w:sz="4" w:space="0"/>
              <w:left w:val="single" w:color="auto" w:sz="4" w:space="0"/>
              <w:bottom w:val="single" w:color="auto" w:sz="4" w:space="0"/>
              <w:right w:val="single" w:color="auto" w:sz="4" w:space="0"/>
            </w:tcBorders>
            <w:noWrap/>
            <w:vAlign w:val="center"/>
          </w:tcPr>
          <w:p w14:paraId="1F04A26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设备名称</w:t>
            </w:r>
          </w:p>
        </w:tc>
        <w:tc>
          <w:tcPr>
            <w:tcW w:w="2932" w:type="dxa"/>
            <w:tcBorders>
              <w:top w:val="single" w:color="auto" w:sz="4" w:space="0"/>
              <w:left w:val="single" w:color="auto" w:sz="4" w:space="0"/>
              <w:bottom w:val="single" w:color="auto" w:sz="4" w:space="0"/>
              <w:right w:val="single" w:color="auto" w:sz="4" w:space="0"/>
            </w:tcBorders>
            <w:noWrap/>
            <w:vAlign w:val="center"/>
          </w:tcPr>
          <w:p w14:paraId="4171BD6C">
            <w:pPr>
              <w:widowControl/>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设备型号</w:t>
            </w:r>
          </w:p>
        </w:tc>
      </w:tr>
      <w:tr w14:paraId="4C83CE89">
        <w:tblPrEx>
          <w:tblCellMar>
            <w:top w:w="0" w:type="dxa"/>
            <w:left w:w="108" w:type="dxa"/>
            <w:bottom w:w="0" w:type="dxa"/>
            <w:right w:w="108" w:type="dxa"/>
          </w:tblCellMar>
        </w:tblPrEx>
        <w:trPr>
          <w:trHeight w:val="498" w:hRule="atLeast"/>
        </w:trPr>
        <w:tc>
          <w:tcPr>
            <w:tcW w:w="928" w:type="dxa"/>
            <w:tcBorders>
              <w:top w:val="single" w:color="auto" w:sz="4" w:space="0"/>
              <w:left w:val="single" w:color="auto" w:sz="4" w:space="0"/>
              <w:bottom w:val="single" w:color="auto" w:sz="4" w:space="0"/>
              <w:right w:val="single" w:color="auto" w:sz="4" w:space="0"/>
            </w:tcBorders>
            <w:noWrap/>
            <w:vAlign w:val="center"/>
          </w:tcPr>
          <w:p w14:paraId="3C260F6F">
            <w:pPr>
              <w:jc w:val="center"/>
              <w:rPr>
                <w:rStyle w:val="11"/>
                <w:rFonts w:hint="eastAsia" w:ascii="宋体" w:hAnsi="宋体" w:eastAsia="宋体" w:cs="宋体"/>
                <w:b w:val="0"/>
                <w:bCs w:val="0"/>
                <w:color w:val="000000"/>
                <w:sz w:val="24"/>
                <w:szCs w:val="24"/>
              </w:rPr>
            </w:pPr>
            <w:r>
              <w:rPr>
                <w:rStyle w:val="11"/>
                <w:rFonts w:hint="eastAsia" w:ascii="宋体" w:hAnsi="宋体" w:eastAsia="宋体" w:cs="宋体"/>
                <w:b w:val="0"/>
                <w:bCs w:val="0"/>
                <w:color w:val="000000"/>
                <w:sz w:val="24"/>
                <w:szCs w:val="24"/>
              </w:rPr>
              <w:t>1</w:t>
            </w:r>
          </w:p>
        </w:tc>
        <w:tc>
          <w:tcPr>
            <w:tcW w:w="4359" w:type="dxa"/>
            <w:tcBorders>
              <w:top w:val="single" w:color="auto" w:sz="4" w:space="0"/>
              <w:left w:val="single" w:color="auto" w:sz="4" w:space="0"/>
              <w:bottom w:val="single" w:color="auto" w:sz="4" w:space="0"/>
              <w:right w:val="single" w:color="auto" w:sz="4" w:space="0"/>
            </w:tcBorders>
            <w:noWrap/>
            <w:vAlign w:val="center"/>
          </w:tcPr>
          <w:p w14:paraId="6608A5F1">
            <w:pPr>
              <w:jc w:val="center"/>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磁共振成像仪</w:t>
            </w:r>
          </w:p>
        </w:tc>
        <w:tc>
          <w:tcPr>
            <w:tcW w:w="2932" w:type="dxa"/>
            <w:tcBorders>
              <w:top w:val="single" w:color="auto" w:sz="4" w:space="0"/>
              <w:left w:val="single" w:color="auto" w:sz="4" w:space="0"/>
              <w:bottom w:val="single" w:color="auto" w:sz="4" w:space="0"/>
              <w:right w:val="single" w:color="auto" w:sz="4" w:space="0"/>
            </w:tcBorders>
            <w:noWrap/>
            <w:vAlign w:val="center"/>
          </w:tcPr>
          <w:p w14:paraId="53655BD6">
            <w:pPr>
              <w:jc w:val="center"/>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Avanto DOT 1.5T</w:t>
            </w:r>
          </w:p>
        </w:tc>
      </w:tr>
      <w:tr w14:paraId="50EA77CF">
        <w:tblPrEx>
          <w:tblCellMar>
            <w:top w:w="0" w:type="dxa"/>
            <w:left w:w="108" w:type="dxa"/>
            <w:bottom w:w="0" w:type="dxa"/>
            <w:right w:w="108" w:type="dxa"/>
          </w:tblCellMar>
        </w:tblPrEx>
        <w:trPr>
          <w:trHeight w:val="498" w:hRule="atLeast"/>
        </w:trPr>
        <w:tc>
          <w:tcPr>
            <w:tcW w:w="928" w:type="dxa"/>
            <w:tcBorders>
              <w:top w:val="single" w:color="auto" w:sz="4" w:space="0"/>
              <w:left w:val="single" w:color="auto" w:sz="4" w:space="0"/>
              <w:bottom w:val="single" w:color="auto" w:sz="4" w:space="0"/>
              <w:right w:val="single" w:color="auto" w:sz="4" w:space="0"/>
            </w:tcBorders>
            <w:noWrap/>
            <w:vAlign w:val="center"/>
          </w:tcPr>
          <w:p w14:paraId="1ED17F50">
            <w:pPr>
              <w:jc w:val="center"/>
              <w:rPr>
                <w:rStyle w:val="11"/>
                <w:rFonts w:hint="eastAsia" w:ascii="宋体" w:hAnsi="宋体" w:eastAsia="宋体" w:cs="宋体"/>
                <w:b w:val="0"/>
                <w:bCs w:val="0"/>
                <w:color w:val="000000"/>
                <w:sz w:val="24"/>
                <w:szCs w:val="24"/>
                <w:lang w:val="en-US" w:eastAsia="zh-CN"/>
              </w:rPr>
            </w:pPr>
            <w:r>
              <w:rPr>
                <w:rStyle w:val="11"/>
                <w:rFonts w:hint="eastAsia" w:ascii="宋体" w:hAnsi="宋体" w:eastAsia="宋体" w:cs="宋体"/>
                <w:b w:val="0"/>
                <w:bCs w:val="0"/>
                <w:color w:val="000000"/>
                <w:sz w:val="24"/>
                <w:szCs w:val="24"/>
                <w:lang w:val="en-US" w:eastAsia="zh-CN"/>
              </w:rPr>
              <w:t>2</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EAC7F">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128排X射线计算机体层摄影设备（CT3）</w:t>
            </w:r>
          </w:p>
        </w:tc>
        <w:tc>
          <w:tcPr>
            <w:tcW w:w="2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F002A">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BrillanceiCT</w:t>
            </w:r>
          </w:p>
        </w:tc>
      </w:tr>
      <w:tr w14:paraId="20CFF9A3">
        <w:tblPrEx>
          <w:tblCellMar>
            <w:top w:w="0" w:type="dxa"/>
            <w:left w:w="108" w:type="dxa"/>
            <w:bottom w:w="0" w:type="dxa"/>
            <w:right w:w="108" w:type="dxa"/>
          </w:tblCellMar>
        </w:tblPrEx>
        <w:trPr>
          <w:trHeight w:val="498" w:hRule="atLeast"/>
        </w:trPr>
        <w:tc>
          <w:tcPr>
            <w:tcW w:w="928" w:type="dxa"/>
            <w:tcBorders>
              <w:top w:val="single" w:color="auto" w:sz="4" w:space="0"/>
              <w:left w:val="single" w:color="auto" w:sz="4" w:space="0"/>
              <w:bottom w:val="single" w:color="auto" w:sz="4" w:space="0"/>
              <w:right w:val="single" w:color="auto" w:sz="4" w:space="0"/>
            </w:tcBorders>
            <w:noWrap/>
            <w:vAlign w:val="center"/>
          </w:tcPr>
          <w:p w14:paraId="79FFE258">
            <w:pPr>
              <w:jc w:val="center"/>
              <w:rPr>
                <w:rStyle w:val="11"/>
                <w:rFonts w:hint="eastAsia" w:ascii="宋体" w:hAnsi="宋体" w:eastAsia="宋体" w:cs="宋体"/>
                <w:b w:val="0"/>
                <w:bCs w:val="0"/>
                <w:color w:val="000000"/>
                <w:sz w:val="24"/>
                <w:szCs w:val="24"/>
                <w:lang w:val="en-US" w:eastAsia="zh-CN"/>
              </w:rPr>
            </w:pPr>
            <w:r>
              <w:rPr>
                <w:rStyle w:val="11"/>
                <w:rFonts w:hint="eastAsia" w:ascii="宋体" w:hAnsi="宋体" w:eastAsia="宋体" w:cs="宋体"/>
                <w:b w:val="0"/>
                <w:bCs w:val="0"/>
                <w:color w:val="000000"/>
                <w:sz w:val="24"/>
                <w:szCs w:val="24"/>
                <w:lang w:val="en-US" w:eastAsia="zh-CN"/>
              </w:rPr>
              <w:t>3</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20254">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62排X射线计算机体层摄影设备（CT4）</w:t>
            </w:r>
          </w:p>
        </w:tc>
        <w:tc>
          <w:tcPr>
            <w:tcW w:w="2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EEB9C">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GE Revolution AcE ES62</w:t>
            </w:r>
          </w:p>
        </w:tc>
      </w:tr>
      <w:tr w14:paraId="23A5707B">
        <w:tblPrEx>
          <w:tblCellMar>
            <w:top w:w="0" w:type="dxa"/>
            <w:left w:w="108" w:type="dxa"/>
            <w:bottom w:w="0" w:type="dxa"/>
            <w:right w:w="108" w:type="dxa"/>
          </w:tblCellMar>
        </w:tblPrEx>
        <w:trPr>
          <w:trHeight w:val="498" w:hRule="atLeast"/>
        </w:trPr>
        <w:tc>
          <w:tcPr>
            <w:tcW w:w="928" w:type="dxa"/>
            <w:tcBorders>
              <w:top w:val="single" w:color="auto" w:sz="4" w:space="0"/>
              <w:left w:val="single" w:color="auto" w:sz="4" w:space="0"/>
              <w:bottom w:val="single" w:color="auto" w:sz="4" w:space="0"/>
              <w:right w:val="single" w:color="auto" w:sz="4" w:space="0"/>
            </w:tcBorders>
            <w:noWrap/>
            <w:vAlign w:val="center"/>
          </w:tcPr>
          <w:p w14:paraId="39C9A6D3">
            <w:pPr>
              <w:jc w:val="center"/>
              <w:rPr>
                <w:rStyle w:val="11"/>
                <w:rFonts w:hint="eastAsia" w:ascii="宋体" w:hAnsi="宋体" w:eastAsia="宋体" w:cs="宋体"/>
                <w:b w:val="0"/>
                <w:bCs w:val="0"/>
                <w:color w:val="000000"/>
                <w:sz w:val="24"/>
                <w:szCs w:val="24"/>
                <w:lang w:val="en-US" w:eastAsia="zh-CN"/>
              </w:rPr>
            </w:pPr>
            <w:r>
              <w:rPr>
                <w:rStyle w:val="11"/>
                <w:rFonts w:hint="eastAsia" w:ascii="宋体" w:hAnsi="宋体" w:eastAsia="宋体" w:cs="宋体"/>
                <w:b w:val="0"/>
                <w:bCs w:val="0"/>
                <w:color w:val="000000"/>
                <w:sz w:val="24"/>
                <w:szCs w:val="24"/>
                <w:lang w:val="en-US" w:eastAsia="zh-CN"/>
              </w:rPr>
              <w:t>4</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2162D">
            <w:pPr>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数字减影造影系统（DSA）</w:t>
            </w:r>
          </w:p>
        </w:tc>
        <w:tc>
          <w:tcPr>
            <w:tcW w:w="2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21F38">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UNIFD20C</w:t>
            </w:r>
          </w:p>
        </w:tc>
      </w:tr>
    </w:tbl>
    <w:p w14:paraId="2E92F382">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color w:val="auto"/>
          <w:kern w:val="2"/>
          <w:sz w:val="24"/>
          <w:szCs w:val="24"/>
          <w:lang w:val="en-US" w:eastAsia="zh-CN" w:bidi="ar-SA"/>
        </w:rPr>
      </w:pPr>
    </w:p>
    <w:p w14:paraId="59F1D8B7">
      <w:pPr>
        <w:keepNext w:val="0"/>
        <w:keepLines w:val="0"/>
        <w:pageBreakBefore w:val="0"/>
        <w:numPr>
          <w:ilvl w:val="0"/>
          <w:numId w:val="1"/>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全保设备现状：</w:t>
      </w:r>
    </w:p>
    <w:p w14:paraId="551F3960">
      <w:pPr>
        <w:pStyle w:val="2"/>
        <w:numPr>
          <w:ilvl w:val="0"/>
          <w:numId w:val="0"/>
        </w:numPr>
        <w:ind w:leftChars="0"/>
        <w:rPr>
          <w:rFonts w:hint="eastAsia"/>
          <w:lang w:val="en-US" w:eastAsia="zh-CN"/>
        </w:rPr>
      </w:pPr>
    </w:p>
    <w:p w14:paraId="11EA484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1.飞利浦BrillanceiCT球管临近使用寿命；</w:t>
      </w:r>
    </w:p>
    <w:p w14:paraId="186E4FAA">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2.GE Revolution AcE ES62 CT球管临近使用寿命；</w:t>
      </w:r>
    </w:p>
    <w:p w14:paraId="089CEBD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3.西门子磁共振Avanto DOT 1.5T冷头临近使用寿命；</w:t>
      </w:r>
    </w:p>
    <w:p w14:paraId="2FACCD2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4.飞利浦DSA UNIFD20C球管临近使用寿命。</w:t>
      </w:r>
    </w:p>
    <w:p w14:paraId="2A9C10DD">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lang w:val="en-US" w:eastAsia="zh-CN"/>
        </w:rPr>
      </w:pPr>
    </w:p>
    <w:p w14:paraId="4CBA9C49">
      <w:pPr>
        <w:keepNext w:val="0"/>
        <w:keepLines w:val="0"/>
        <w:pageBreakBefore w:val="0"/>
        <w:numPr>
          <w:ilvl w:val="0"/>
          <w:numId w:val="1"/>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放射设备维保全保条款：</w:t>
      </w:r>
    </w:p>
    <w:p w14:paraId="694BF773">
      <w:pPr>
        <w:pStyle w:val="2"/>
        <w:numPr>
          <w:ilvl w:val="0"/>
          <w:numId w:val="0"/>
        </w:numPr>
        <w:ind w:leftChars="0"/>
        <w:rPr>
          <w:rFonts w:hint="default"/>
          <w:lang w:val="en-US" w:eastAsia="zh-CN"/>
        </w:rPr>
      </w:pPr>
    </w:p>
    <w:p w14:paraId="3329275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1.MRI全保服务</w:t>
      </w:r>
      <w:r>
        <w:rPr>
          <w:rFonts w:hint="eastAsia" w:ascii="宋体" w:hAnsi="宋体" w:eastAsia="宋体" w:cs="宋体"/>
          <w:color w:val="auto"/>
          <w:sz w:val="24"/>
          <w:szCs w:val="24"/>
          <w:highlight w:val="none"/>
        </w:rPr>
        <w:t>包含所有线圈、冷头、梯度放大器、射频放大器，稳压电源、UPS、精密空调和水冷机组等配件更换费用和人工服务费用，更换配件必须是全新原厂，提供全新原厂证明文件（如出库单等），新的配件更换必须在未拆除需更换该零部件之前经医院医学装备主管部门和本科室相关人员确认后方可拆除；包含高压注射器的维护。</w:t>
      </w:r>
    </w:p>
    <w:p w14:paraId="5B39130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2..CT/DSA全保设备</w:t>
      </w:r>
      <w:r>
        <w:rPr>
          <w:rFonts w:hint="eastAsia" w:ascii="宋体" w:hAnsi="宋体" w:eastAsia="宋体" w:cs="宋体"/>
          <w:color w:val="auto"/>
          <w:sz w:val="24"/>
          <w:szCs w:val="24"/>
          <w:highlight w:val="none"/>
        </w:rPr>
        <w:t>包含免费更换除球管、探测器等（含备件、球管、探测器工作站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后处理工作站、高压注射器等</w:t>
      </w:r>
      <w:r>
        <w:rPr>
          <w:rFonts w:hint="eastAsia" w:ascii="宋体" w:hAnsi="宋体" w:eastAsia="宋体" w:cs="宋体"/>
          <w:color w:val="auto"/>
          <w:sz w:val="24"/>
          <w:szCs w:val="24"/>
          <w:highlight w:val="none"/>
        </w:rPr>
        <w:t>）整机</w:t>
      </w:r>
      <w:r>
        <w:rPr>
          <w:rFonts w:hint="eastAsia" w:ascii="宋体" w:hAnsi="宋体" w:eastAsia="宋体" w:cs="宋体"/>
          <w:color w:val="auto"/>
          <w:sz w:val="24"/>
          <w:szCs w:val="24"/>
          <w:highlight w:val="none"/>
          <w:lang w:val="en-US" w:eastAsia="zh-CN"/>
        </w:rPr>
        <w:t>及附属仪器的</w:t>
      </w:r>
      <w:r>
        <w:rPr>
          <w:rFonts w:hint="eastAsia" w:ascii="宋体" w:hAnsi="宋体" w:eastAsia="宋体" w:cs="宋体"/>
          <w:color w:val="auto"/>
          <w:sz w:val="24"/>
          <w:szCs w:val="24"/>
          <w:highlight w:val="none"/>
        </w:rPr>
        <w:t>所有故障配件，包含主机、高压发生器、UPS等备件更换费用和人工服务费用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保障设备正常运转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负责提供维修所需的全部配件，所有更换零部件必须为原厂原装全新配件，重要部件需提供出厂检测报告，涉及更换重要进口配件时，成交供应商须提供进口配件报关单备查，且所有零部件来源均是合法途径，确保维保后设备质量达到厂家性能指标，并符合法定部门检测要求。提供全新原厂证明文件（如出库单等）</w:t>
      </w:r>
      <w:r>
        <w:rPr>
          <w:rFonts w:hint="eastAsia" w:ascii="宋体" w:hAnsi="宋体" w:eastAsia="宋体" w:cs="宋体"/>
          <w:color w:val="auto"/>
          <w:sz w:val="24"/>
          <w:szCs w:val="24"/>
          <w:highlight w:val="none"/>
          <w:lang w:eastAsia="zh-CN"/>
        </w:rPr>
        <w:t>。</w:t>
      </w:r>
    </w:p>
    <w:p w14:paraId="30FECE2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w:t>
      </w:r>
      <w:r>
        <w:rPr>
          <w:rFonts w:hint="eastAsia" w:ascii="宋体" w:hAnsi="宋体" w:eastAsia="宋体" w:cs="宋体"/>
          <w:sz w:val="24"/>
          <w:szCs w:val="24"/>
        </w:rPr>
        <w:t>有充足的配件供应能力，维修保养设备所需备品备件保证 24 小时内能到达维修地点。</w:t>
      </w:r>
    </w:p>
    <w:p w14:paraId="2ABD683D">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.合同期内更换球管要求提供投标型号球管的原版技术白皮书</w:t>
      </w:r>
      <w:r>
        <w:rPr>
          <w:rFonts w:hint="eastAsia" w:ascii="宋体" w:hAnsi="宋体" w:eastAsia="宋体" w:cs="宋体"/>
          <w:sz w:val="24"/>
          <w:szCs w:val="24"/>
          <w:lang w:eastAsia="zh-CN"/>
        </w:rPr>
        <w:t>。</w:t>
      </w:r>
    </w:p>
    <w:p w14:paraId="07D6FA5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.提供球管与整机匹配的SFDA认证报告；</w:t>
      </w:r>
    </w:p>
    <w:p w14:paraId="07FAC749">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.提供全新球管证明文件（如出库单等）</w:t>
      </w:r>
      <w:r>
        <w:rPr>
          <w:rFonts w:hint="eastAsia" w:ascii="宋体" w:hAnsi="宋体" w:eastAsia="宋体" w:cs="宋体"/>
          <w:sz w:val="24"/>
          <w:szCs w:val="24"/>
          <w:lang w:val="en-US" w:eastAsia="zh-CN"/>
        </w:rPr>
        <w:t>，</w:t>
      </w:r>
      <w:r>
        <w:rPr>
          <w:rFonts w:hint="eastAsia" w:ascii="宋体" w:hAnsi="宋体" w:eastAsia="宋体" w:cs="宋体"/>
          <w:sz w:val="24"/>
          <w:szCs w:val="24"/>
        </w:rPr>
        <w:t>供应</w:t>
      </w:r>
      <w:r>
        <w:rPr>
          <w:rFonts w:hint="eastAsia" w:ascii="宋体" w:hAnsi="宋体" w:eastAsia="宋体" w:cs="宋体"/>
          <w:sz w:val="24"/>
          <w:szCs w:val="24"/>
          <w:lang w:val="en-US" w:eastAsia="zh-CN"/>
        </w:rPr>
        <w:t>球管</w:t>
      </w:r>
      <w:r>
        <w:rPr>
          <w:rFonts w:hint="eastAsia" w:ascii="宋体" w:hAnsi="宋体" w:eastAsia="宋体" w:cs="宋体"/>
          <w:sz w:val="24"/>
          <w:szCs w:val="24"/>
        </w:rPr>
        <w:t>时提供在中国境内由合法合规渠道供应的全新原装未拆封的</w:t>
      </w:r>
      <w:r>
        <w:rPr>
          <w:rFonts w:hint="eastAsia" w:ascii="宋体" w:hAnsi="宋体" w:eastAsia="宋体" w:cs="宋体"/>
          <w:sz w:val="24"/>
          <w:szCs w:val="24"/>
          <w:lang w:val="en-US" w:eastAsia="zh-CN"/>
        </w:rPr>
        <w:t>原厂全新同型号</w:t>
      </w:r>
      <w:r>
        <w:rPr>
          <w:rFonts w:hint="eastAsia" w:ascii="宋体" w:hAnsi="宋体" w:eastAsia="宋体" w:cs="宋体"/>
          <w:sz w:val="24"/>
          <w:szCs w:val="24"/>
        </w:rPr>
        <w:t>球管，且提供的球管序列号（即 SN 号）可以接受生产厂家溯源，并提供采购渠道证明，在必要时可接受食药监或第三方机构的检测或商检；若提供的球管为非全新原装未拆封的球管(即二手球管)或不明渠道的球管，供应商承担相关法律责任，且承担采购人相关的直接和间接损失。</w:t>
      </w:r>
    </w:p>
    <w:p w14:paraId="370E619B">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配件更换</w:t>
      </w:r>
      <w:r>
        <w:rPr>
          <w:rFonts w:hint="eastAsia" w:ascii="宋体" w:hAnsi="宋体" w:eastAsia="宋体" w:cs="宋体"/>
          <w:sz w:val="24"/>
          <w:szCs w:val="24"/>
          <w:lang w:val="en-US" w:eastAsia="zh-CN"/>
        </w:rPr>
        <w:t>时</w:t>
      </w:r>
      <w:r>
        <w:rPr>
          <w:rFonts w:hint="eastAsia" w:ascii="宋体" w:hAnsi="宋体" w:eastAsia="宋体" w:cs="宋体"/>
          <w:sz w:val="24"/>
          <w:szCs w:val="24"/>
        </w:rPr>
        <w:t>必须在未拆除需更换该零部件之前经医院医学装备主管部门和本科室相关人员确认后方可拆除；包括高压注射器、后处理工作站维护。</w:t>
      </w:r>
    </w:p>
    <w:p w14:paraId="6475C3C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维修工程师</w:t>
      </w:r>
      <w:r>
        <w:rPr>
          <w:rFonts w:hint="eastAsia" w:ascii="宋体" w:hAnsi="宋体" w:eastAsia="宋体" w:cs="宋体"/>
          <w:sz w:val="24"/>
          <w:szCs w:val="24"/>
          <w:lang w:val="en-US" w:eastAsia="zh-CN"/>
        </w:rPr>
        <w:t>需合法获得使用在有效期内的</w:t>
      </w:r>
      <w:r>
        <w:rPr>
          <w:rFonts w:hint="eastAsia" w:ascii="宋体" w:hAnsi="宋体" w:eastAsia="宋体" w:cs="宋体"/>
          <w:sz w:val="24"/>
          <w:szCs w:val="24"/>
        </w:rPr>
        <w:t>原厂</w:t>
      </w:r>
      <w:r>
        <w:rPr>
          <w:rFonts w:hint="eastAsia" w:ascii="宋体" w:hAnsi="宋体" w:eastAsia="宋体" w:cs="宋体"/>
          <w:sz w:val="24"/>
          <w:szCs w:val="24"/>
          <w:lang w:val="en-US" w:eastAsia="zh-CN"/>
        </w:rPr>
        <w:t>高级故障</w:t>
      </w:r>
      <w:r>
        <w:rPr>
          <w:rFonts w:hint="eastAsia" w:ascii="宋体" w:hAnsi="宋体" w:eastAsia="宋体" w:cs="宋体"/>
          <w:sz w:val="24"/>
          <w:szCs w:val="24"/>
        </w:rPr>
        <w:t>诊断</w:t>
      </w:r>
      <w:r>
        <w:rPr>
          <w:rFonts w:hint="eastAsia" w:ascii="宋体" w:hAnsi="宋体" w:eastAsia="宋体" w:cs="宋体"/>
          <w:sz w:val="24"/>
          <w:szCs w:val="24"/>
          <w:lang w:val="en-US" w:eastAsia="zh-CN"/>
        </w:rPr>
        <w:t>维修钥匙</w:t>
      </w:r>
      <w:r>
        <w:rPr>
          <w:rFonts w:hint="eastAsia" w:ascii="宋体" w:hAnsi="宋体" w:eastAsia="宋体" w:cs="宋体"/>
          <w:sz w:val="24"/>
          <w:szCs w:val="24"/>
        </w:rPr>
        <w:t>，并保证能够解决所有需要原厂</w:t>
      </w:r>
      <w:r>
        <w:rPr>
          <w:rFonts w:hint="eastAsia" w:ascii="宋体" w:hAnsi="宋体" w:eastAsia="宋体" w:cs="宋体"/>
          <w:sz w:val="24"/>
          <w:szCs w:val="24"/>
          <w:lang w:val="en-US" w:eastAsia="zh-CN"/>
        </w:rPr>
        <w:t>Service</w:t>
      </w:r>
      <w:r>
        <w:rPr>
          <w:rFonts w:hint="eastAsia" w:ascii="宋体" w:hAnsi="宋体" w:eastAsia="宋体" w:cs="宋体"/>
          <w:sz w:val="24"/>
          <w:szCs w:val="24"/>
        </w:rPr>
        <w:t>key才能解决的设备故障。</w:t>
      </w:r>
    </w:p>
    <w:p w14:paraId="0219F5A5">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.服务及备件厂商所提供的备件须</w:t>
      </w:r>
      <w:r>
        <w:rPr>
          <w:rFonts w:hint="eastAsia" w:ascii="宋体" w:hAnsi="宋体" w:eastAsia="宋体" w:cs="宋体"/>
          <w:sz w:val="24"/>
          <w:szCs w:val="24"/>
          <w:lang w:val="en-US" w:eastAsia="zh-CN"/>
        </w:rPr>
        <w:t>是原设备厂家</w:t>
      </w:r>
      <w:r>
        <w:rPr>
          <w:rFonts w:hint="eastAsia" w:ascii="宋体" w:hAnsi="宋体" w:eastAsia="宋体" w:cs="宋体"/>
          <w:sz w:val="24"/>
          <w:szCs w:val="24"/>
        </w:rPr>
        <w:t>出厂标准的配件，所更换的备件必须和CT整机注册证保持一致，功能保持一致，提供CT整机注册证复印件。</w:t>
      </w:r>
    </w:p>
    <w:p w14:paraId="5BBFC2BB">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10.</w:t>
      </w:r>
      <w:r>
        <w:rPr>
          <w:rFonts w:hint="eastAsia" w:ascii="宋体" w:hAnsi="宋体" w:eastAsia="宋体" w:cs="宋体"/>
          <w:sz w:val="24"/>
          <w:szCs w:val="24"/>
        </w:rPr>
        <w:t>按照设备原厂商标准及相关法规进行安全检查；按照设备原厂商的质量标准进行校准；</w:t>
      </w:r>
    </w:p>
    <w:p w14:paraId="6A23D7F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.按照设备原厂商的建议和要求，提供基于设备安全性的</w:t>
      </w:r>
      <w:r>
        <w:rPr>
          <w:rFonts w:hint="eastAsia" w:ascii="宋体" w:hAnsi="宋体" w:eastAsia="宋体" w:cs="宋体"/>
          <w:i w:val="0"/>
          <w:iCs w:val="0"/>
          <w:caps w:val="0"/>
          <w:color w:val="000000"/>
          <w:spacing w:val="0"/>
          <w:sz w:val="24"/>
          <w:szCs w:val="24"/>
        </w:rPr>
        <w:t>功能软件免费包含升级</w:t>
      </w:r>
      <w:r>
        <w:rPr>
          <w:rFonts w:hint="eastAsia" w:ascii="宋体" w:hAnsi="宋体" w:eastAsia="宋体" w:cs="宋体"/>
          <w:sz w:val="24"/>
          <w:szCs w:val="24"/>
        </w:rPr>
        <w:t>。</w:t>
      </w:r>
    </w:p>
    <w:p w14:paraId="46BDB9A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提供365天24小时咨询和响应，由专业工程师提供每年不少于4次对设备</w:t>
      </w:r>
      <w:r>
        <w:rPr>
          <w:rFonts w:hint="eastAsia" w:ascii="宋体" w:hAnsi="宋体" w:eastAsia="宋体" w:cs="宋体"/>
          <w:sz w:val="24"/>
          <w:szCs w:val="24"/>
          <w:lang w:val="en-US" w:eastAsia="zh-CN"/>
        </w:rPr>
        <w:t>及</w:t>
      </w:r>
      <w:r>
        <w:rPr>
          <w:rFonts w:hint="eastAsia" w:ascii="宋体" w:hAnsi="宋体" w:eastAsia="宋体" w:cs="宋体"/>
          <w:sz w:val="24"/>
          <w:szCs w:val="24"/>
        </w:rPr>
        <w:t>系统专业保养定期保养，调试、参数校正，包括设备安全检查，性能服务测试，影像质量检查，设备除尘保养，运行状态检查，确保服务质量</w:t>
      </w:r>
      <w:r>
        <w:rPr>
          <w:rFonts w:hint="eastAsia" w:ascii="宋体" w:hAnsi="宋体" w:eastAsia="宋体" w:cs="宋体"/>
          <w:sz w:val="24"/>
          <w:szCs w:val="24"/>
          <w:lang w:eastAsia="zh-CN"/>
        </w:rPr>
        <w:t>，</w:t>
      </w:r>
      <w:r>
        <w:rPr>
          <w:rFonts w:hint="eastAsia" w:ascii="宋体" w:hAnsi="宋体" w:eastAsia="宋体" w:cs="宋体"/>
          <w:i w:val="0"/>
          <w:iCs w:val="0"/>
          <w:caps w:val="0"/>
          <w:color w:val="000000"/>
          <w:spacing w:val="0"/>
          <w:sz w:val="24"/>
          <w:szCs w:val="24"/>
        </w:rPr>
        <w:t>每次保养后要对所保设备提供定期维护保养报告。每年出具年度服务报告，对设备整体运⾏状态进⾏评价，保证设备维护达到符合⼚家标准或相应的国家质量标准的要求</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其中GE CT设备提供设备生产厂家远程设备保养ePM2次/年</w:t>
      </w:r>
      <w:r>
        <w:rPr>
          <w:rFonts w:hint="eastAsia" w:ascii="宋体" w:hAnsi="宋体" w:eastAsia="宋体" w:cs="宋体"/>
          <w:i w:val="0"/>
          <w:iCs w:val="0"/>
          <w:caps w:val="0"/>
          <w:color w:val="000000"/>
          <w:spacing w:val="0"/>
          <w:sz w:val="24"/>
          <w:szCs w:val="24"/>
        </w:rPr>
        <w:t>。</w:t>
      </w:r>
    </w:p>
    <w:p w14:paraId="1C5E6DE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13.</w:t>
      </w:r>
      <w:r>
        <w:rPr>
          <w:rFonts w:hint="eastAsia" w:ascii="宋体" w:hAnsi="宋体" w:eastAsia="宋体" w:cs="宋体"/>
          <w:sz w:val="24"/>
          <w:szCs w:val="24"/>
        </w:rPr>
        <w:t>合同期内提供不限派工次数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不限次数的</w:t>
      </w:r>
      <w:r>
        <w:rPr>
          <w:rFonts w:hint="eastAsia" w:ascii="宋体" w:hAnsi="宋体" w:eastAsia="宋体" w:cs="宋体"/>
          <w:sz w:val="24"/>
          <w:szCs w:val="24"/>
        </w:rPr>
        <w:t>电话指导及现场维护服务</w:t>
      </w:r>
      <w:r>
        <w:rPr>
          <w:rFonts w:hint="eastAsia" w:ascii="宋体" w:hAnsi="宋体" w:eastAsia="宋体" w:cs="宋体"/>
          <w:sz w:val="24"/>
          <w:szCs w:val="24"/>
          <w:lang w:eastAsia="zh-CN"/>
        </w:rPr>
        <w:t>，</w:t>
      </w:r>
      <w:r>
        <w:rPr>
          <w:rFonts w:hint="eastAsia" w:ascii="宋体" w:hAnsi="宋体" w:eastAsia="宋体" w:cs="宋体"/>
          <w:sz w:val="24"/>
          <w:szCs w:val="24"/>
        </w:rPr>
        <w:t>享受优先派工。</w:t>
      </w:r>
    </w:p>
    <w:p w14:paraId="0E0478B1">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14.</w:t>
      </w:r>
      <w:r>
        <w:rPr>
          <w:rFonts w:hint="eastAsia" w:ascii="宋体" w:hAnsi="宋体" w:eastAsia="宋体" w:cs="宋体"/>
          <w:sz w:val="24"/>
          <w:szCs w:val="24"/>
        </w:rPr>
        <w:t>设备定期保养包含但不限于如下项目：设备清洁、系统性能测试及</w:t>
      </w:r>
      <w:r>
        <w:rPr>
          <w:rFonts w:hint="eastAsia" w:ascii="宋体" w:hAnsi="宋体" w:eastAsia="宋体" w:cs="宋体"/>
          <w:sz w:val="24"/>
          <w:szCs w:val="24"/>
          <w:lang w:val="en-US" w:eastAsia="zh-CN"/>
        </w:rPr>
        <w:t>设备</w:t>
      </w:r>
      <w:r>
        <w:rPr>
          <w:rFonts w:hint="eastAsia" w:ascii="宋体" w:hAnsi="宋体" w:eastAsia="宋体" w:cs="宋体"/>
          <w:sz w:val="24"/>
          <w:szCs w:val="24"/>
        </w:rPr>
        <w:t>校准、必要的电气环境检测等。工程师提供7×24小时在线技术支持，节假日不休，提供全国范围内热线电话，提供微信、传真、电子邮件等联络方式，确保开机率≥96%，</w:t>
      </w:r>
      <w:r>
        <w:rPr>
          <w:rFonts w:hint="eastAsia" w:ascii="宋体" w:hAnsi="宋体" w:eastAsia="宋体" w:cs="宋体"/>
          <w:i w:val="0"/>
          <w:iCs w:val="0"/>
          <w:caps w:val="0"/>
          <w:color w:val="000000"/>
          <w:spacing w:val="0"/>
          <w:sz w:val="24"/>
          <w:szCs w:val="24"/>
        </w:rPr>
        <w:t>单次维修时间不超过7天，超过⼀天，保修延⻓7天</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sz w:val="24"/>
          <w:szCs w:val="24"/>
        </w:rPr>
        <w:t>全力配合医院开展工作。</w:t>
      </w:r>
    </w:p>
    <w:p w14:paraId="46601A5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15</w:t>
      </w:r>
      <w:r>
        <w:rPr>
          <w:rFonts w:hint="eastAsia" w:ascii="宋体" w:hAnsi="宋体" w:eastAsia="宋体" w:cs="宋体"/>
          <w:i w:val="0"/>
          <w:iCs w:val="0"/>
          <w:caps w:val="0"/>
          <w:color w:val="000000"/>
          <w:spacing w:val="0"/>
          <w:sz w:val="24"/>
          <w:szCs w:val="24"/>
        </w:rPr>
        <w:t>.远程服务：供应商具备完全使⽤制造商远程诊断系统(PRS)的权⼒和能⼒，能够提供嵌⼊式远程连接的实时远程服务，通过远程系统24⼩时不间断监测设备运⾏健康状况。（提供相关证明材料）</w:t>
      </w:r>
    </w:p>
    <w:p w14:paraId="12D4CCD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16.</w:t>
      </w:r>
      <w:r>
        <w:rPr>
          <w:rFonts w:hint="eastAsia" w:ascii="宋体" w:hAnsi="宋体" w:eastAsia="宋体" w:cs="宋体"/>
          <w:i w:val="0"/>
          <w:iCs w:val="0"/>
          <w:caps w:val="0"/>
          <w:color w:val="000000"/>
          <w:spacing w:val="0"/>
          <w:sz w:val="24"/>
          <w:szCs w:val="24"/>
        </w:rPr>
        <w:t>维修材料：维修⼚家⾃备</w:t>
      </w:r>
    </w:p>
    <w:p w14:paraId="2B03EB1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lang w:val="en-US" w:eastAsia="zh-CN"/>
        </w:rPr>
        <w:t>17.</w:t>
      </w:r>
      <w:r>
        <w:rPr>
          <w:rFonts w:hint="eastAsia" w:ascii="宋体" w:hAnsi="宋体" w:eastAsia="宋体" w:cs="宋体"/>
          <w:i w:val="0"/>
          <w:iCs w:val="0"/>
          <w:caps w:val="0"/>
          <w:color w:val="000000"/>
          <w:spacing w:val="0"/>
          <w:sz w:val="24"/>
          <w:szCs w:val="24"/>
        </w:rPr>
        <w:t>维修⼯具：</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rPr>
        <w:t>投标供应商提供相关设备维修保养需使⽤的特殊精密专业⼯具列表。</w:t>
      </w:r>
    </w:p>
    <w:p w14:paraId="0F590C5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18.</w:t>
      </w:r>
      <w:r>
        <w:rPr>
          <w:rFonts w:hint="eastAsia" w:ascii="宋体" w:hAnsi="宋体" w:eastAsia="宋体" w:cs="宋体"/>
          <w:i w:val="0"/>
          <w:iCs w:val="0"/>
          <w:caps w:val="0"/>
          <w:color w:val="000000"/>
          <w:spacing w:val="0"/>
          <w:sz w:val="24"/>
          <w:szCs w:val="24"/>
        </w:rPr>
        <w:t>维修密码⽀持：⽀持</w:t>
      </w:r>
    </w:p>
    <w:p w14:paraId="6161362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lang w:val="en-US" w:eastAsia="zh-CN"/>
        </w:rPr>
        <w:t>19.</w:t>
      </w:r>
      <w:r>
        <w:rPr>
          <w:rFonts w:hint="eastAsia" w:ascii="宋体" w:hAnsi="宋体" w:eastAsia="宋体" w:cs="宋体"/>
          <w:i w:val="0"/>
          <w:iCs w:val="0"/>
          <w:caps w:val="0"/>
          <w:color w:val="000000"/>
          <w:spacing w:val="0"/>
          <w:sz w:val="24"/>
          <w:szCs w:val="24"/>
        </w:rPr>
        <w:t>使⽤培训：</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rPr>
        <w:t>投标⼈需配备相对应保修设备</w:t>
      </w:r>
      <w:r>
        <w:rPr>
          <w:rFonts w:hint="eastAsia" w:ascii="宋体" w:hAnsi="宋体" w:eastAsia="宋体" w:cs="宋体"/>
          <w:i w:val="0"/>
          <w:iCs w:val="0"/>
          <w:caps w:val="0"/>
          <w:color w:val="000000"/>
          <w:spacing w:val="0"/>
          <w:sz w:val="24"/>
          <w:szCs w:val="24"/>
          <w:lang w:val="en-US" w:eastAsia="zh-CN"/>
        </w:rPr>
        <w:t>线下</w:t>
      </w:r>
      <w:r>
        <w:rPr>
          <w:rFonts w:hint="eastAsia" w:ascii="宋体" w:hAnsi="宋体" w:eastAsia="宋体" w:cs="宋体"/>
          <w:i w:val="0"/>
          <w:iCs w:val="0"/>
          <w:caps w:val="0"/>
          <w:color w:val="000000"/>
          <w:spacing w:val="0"/>
          <w:sz w:val="24"/>
          <w:szCs w:val="24"/>
        </w:rPr>
        <w:t>临床培训⼈员2名，并提供获得设备⽣产⼚家出具的相关资质证书。</w:t>
      </w:r>
      <w:r>
        <w:rPr>
          <w:rFonts w:hint="eastAsia" w:ascii="宋体" w:hAnsi="宋体" w:eastAsia="宋体" w:cs="宋体"/>
          <w:i w:val="0"/>
          <w:iCs w:val="0"/>
          <w:caps w:val="0"/>
          <w:color w:val="000000"/>
          <w:spacing w:val="0"/>
          <w:sz w:val="24"/>
          <w:szCs w:val="24"/>
          <w:lang w:val="en-US" w:eastAsia="zh-CN"/>
        </w:rPr>
        <w:t>提供ONLINE课堂e学，线上应用学习。</w:t>
      </w:r>
    </w:p>
    <w:p w14:paraId="4794010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lang w:val="en-US" w:eastAsia="zh-CN"/>
        </w:rPr>
        <w:t>20.</w:t>
      </w:r>
      <w:r>
        <w:rPr>
          <w:rFonts w:hint="eastAsia" w:ascii="宋体" w:hAnsi="宋体" w:eastAsia="宋体" w:cs="宋体"/>
          <w:i w:val="0"/>
          <w:iCs w:val="0"/>
          <w:caps w:val="0"/>
          <w:color w:val="000000"/>
          <w:spacing w:val="0"/>
          <w:sz w:val="24"/>
          <w:szCs w:val="24"/>
        </w:rPr>
        <w:t>技术⼈员培训：</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rPr>
        <w:t>拟参加本项⽬的潜在供应商需配备相对应保修设备</w:t>
      </w:r>
      <w:r>
        <w:rPr>
          <w:rFonts w:hint="eastAsia" w:ascii="宋体" w:hAnsi="宋体" w:eastAsia="宋体" w:cs="宋体"/>
          <w:i w:val="0"/>
          <w:iCs w:val="0"/>
          <w:caps w:val="0"/>
          <w:color w:val="000000"/>
          <w:spacing w:val="0"/>
          <w:sz w:val="24"/>
          <w:szCs w:val="24"/>
          <w:lang w:val="en-US" w:eastAsia="zh-CN"/>
        </w:rPr>
        <w:t>维护培训</w:t>
      </w:r>
      <w:r>
        <w:rPr>
          <w:rFonts w:hint="eastAsia" w:ascii="宋体" w:hAnsi="宋体" w:eastAsia="宋体" w:cs="宋体"/>
          <w:i w:val="0"/>
          <w:iCs w:val="0"/>
          <w:caps w:val="0"/>
          <w:color w:val="000000"/>
          <w:spacing w:val="0"/>
          <w:sz w:val="24"/>
          <w:szCs w:val="24"/>
        </w:rPr>
        <w:t>⼯程师3名以上，并提供获得⽣产⼚家授权的合法代理⼈出具的培训证明。</w:t>
      </w:r>
    </w:p>
    <w:p w14:paraId="5D2F308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lang w:val="en-US" w:eastAsia="zh-CN"/>
        </w:rPr>
        <w:t>21.</w:t>
      </w:r>
      <w:r>
        <w:rPr>
          <w:rFonts w:hint="eastAsia" w:ascii="宋体" w:hAnsi="宋体" w:eastAsia="宋体" w:cs="宋体"/>
          <w:i w:val="0"/>
          <w:iCs w:val="0"/>
          <w:caps w:val="0"/>
          <w:color w:val="000000"/>
          <w:spacing w:val="0"/>
          <w:sz w:val="24"/>
          <w:szCs w:val="24"/>
        </w:rPr>
        <w:t>维修⼯程师要求：</w:t>
      </w:r>
      <w:r>
        <w:rPr>
          <w:rFonts w:hint="eastAsia" w:ascii="宋体" w:hAnsi="宋体" w:eastAsia="宋体" w:cs="宋体"/>
          <w:sz w:val="24"/>
          <w:szCs w:val="24"/>
        </w:rPr>
        <w:t>▲供应商须配备</w:t>
      </w:r>
      <w:r>
        <w:rPr>
          <w:rFonts w:hint="eastAsia" w:ascii="宋体" w:hAnsi="宋体" w:eastAsia="宋体" w:cs="宋体"/>
          <w:sz w:val="24"/>
          <w:szCs w:val="24"/>
          <w:lang w:val="en-US" w:eastAsia="zh-CN"/>
        </w:rPr>
        <w:t>GE品牌CT</w:t>
      </w:r>
      <w:r>
        <w:rPr>
          <w:rFonts w:hint="eastAsia" w:ascii="宋体" w:hAnsi="宋体" w:eastAsia="宋体" w:cs="宋体"/>
          <w:sz w:val="24"/>
          <w:szCs w:val="24"/>
        </w:rPr>
        <w:t>设备资质服务工程师≥</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名，另配备</w:t>
      </w:r>
      <w:r>
        <w:rPr>
          <w:rFonts w:hint="eastAsia" w:ascii="宋体" w:hAnsi="宋体" w:eastAsia="宋体" w:cs="宋体"/>
          <w:sz w:val="24"/>
          <w:szCs w:val="24"/>
          <w:lang w:val="en-US" w:eastAsia="zh-CN"/>
        </w:rPr>
        <w:t>飞利浦</w:t>
      </w:r>
      <w:r>
        <w:rPr>
          <w:rFonts w:hint="eastAsia" w:ascii="宋体" w:hAnsi="宋体" w:eastAsia="宋体" w:cs="宋体"/>
          <w:sz w:val="24"/>
          <w:szCs w:val="24"/>
        </w:rPr>
        <w:t>CT</w:t>
      </w:r>
      <w:r>
        <w:rPr>
          <w:rFonts w:hint="eastAsia" w:ascii="宋体" w:hAnsi="宋体" w:eastAsia="宋体" w:cs="宋体"/>
          <w:sz w:val="24"/>
          <w:szCs w:val="24"/>
          <w:lang w:val="en-US" w:eastAsia="zh-CN"/>
        </w:rPr>
        <w:t>及DSA</w:t>
      </w:r>
      <w:r>
        <w:rPr>
          <w:rFonts w:hint="eastAsia" w:ascii="宋体" w:hAnsi="宋体" w:eastAsia="宋体" w:cs="宋体"/>
          <w:sz w:val="24"/>
          <w:szCs w:val="24"/>
        </w:rPr>
        <w:t>设备资质服务工程师≥</w:t>
      </w:r>
      <w:r>
        <w:rPr>
          <w:rFonts w:hint="eastAsia" w:ascii="宋体" w:hAnsi="宋体" w:eastAsia="宋体" w:cs="宋体"/>
          <w:sz w:val="24"/>
          <w:szCs w:val="24"/>
          <w:lang w:val="en-US" w:eastAsia="zh-CN"/>
        </w:rPr>
        <w:t>3</w:t>
      </w:r>
      <w:r>
        <w:rPr>
          <w:rFonts w:hint="eastAsia" w:ascii="宋体" w:hAnsi="宋体" w:eastAsia="宋体" w:cs="宋体"/>
          <w:sz w:val="24"/>
          <w:szCs w:val="24"/>
        </w:rPr>
        <w:t>名，提供的工程师应获得相应设备</w:t>
      </w:r>
      <w:r>
        <w:rPr>
          <w:rFonts w:hint="eastAsia" w:ascii="宋体" w:hAnsi="宋体" w:eastAsia="宋体" w:cs="宋体"/>
          <w:sz w:val="24"/>
          <w:szCs w:val="24"/>
          <w:lang w:val="en-US" w:eastAsia="zh-CN"/>
        </w:rPr>
        <w:t>原厂</w:t>
      </w:r>
      <w:r>
        <w:rPr>
          <w:rFonts w:hint="eastAsia" w:ascii="宋体" w:hAnsi="宋体" w:eastAsia="宋体" w:cs="宋体"/>
          <w:sz w:val="24"/>
          <w:szCs w:val="24"/>
        </w:rPr>
        <w:t>技术培训认证的有效期内技术资质证明（供应商在中标签订合同时须提供服务工程师有效期内的资质证书复印件给采购人备案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并经原厂二维码核验</w:t>
      </w:r>
      <w:r>
        <w:rPr>
          <w:rFonts w:hint="eastAsia" w:ascii="宋体" w:hAnsi="宋体" w:eastAsia="宋体" w:cs="宋体"/>
          <w:sz w:val="24"/>
          <w:szCs w:val="24"/>
        </w:rPr>
        <w:t>）。</w:t>
      </w:r>
    </w:p>
    <w:p w14:paraId="76AEB81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kern w:val="0"/>
          <w:sz w:val="24"/>
          <w:szCs w:val="24"/>
          <w:lang w:val="en-US" w:eastAsia="zh-CN" w:bidi="ar"/>
        </w:rPr>
        <w:t>22.</w:t>
      </w:r>
      <w:r>
        <w:rPr>
          <w:rFonts w:hint="eastAsia" w:ascii="宋体" w:hAnsi="宋体" w:eastAsia="宋体" w:cs="宋体"/>
          <w:i w:val="0"/>
          <w:iCs w:val="0"/>
          <w:caps w:val="0"/>
          <w:color w:val="000000"/>
          <w:spacing w:val="0"/>
          <w:sz w:val="24"/>
          <w:szCs w:val="24"/>
        </w:rPr>
        <w:t>其他约定：</w:t>
      </w:r>
      <w:r>
        <w:rPr>
          <w:rFonts w:hint="eastAsia" w:ascii="宋体" w:hAnsi="宋体" w:eastAsia="宋体" w:cs="宋体"/>
          <w:i w:val="0"/>
          <w:iCs w:val="0"/>
          <w:caps w:val="0"/>
          <w:color w:val="000000"/>
          <w:spacing w:val="0"/>
          <w:sz w:val="24"/>
          <w:szCs w:val="24"/>
          <w:lang w:val="en-US" w:eastAsia="zh-CN"/>
        </w:rPr>
        <w:t>配备2-4名技术人员对医院临床医技进行技术指导，并</w:t>
      </w:r>
      <w:r>
        <w:rPr>
          <w:rFonts w:hint="eastAsia" w:ascii="宋体" w:hAnsi="宋体" w:eastAsia="宋体" w:cs="宋体"/>
          <w:i w:val="0"/>
          <w:iCs w:val="0"/>
          <w:caps w:val="0"/>
          <w:color w:val="000000"/>
          <w:spacing w:val="0"/>
          <w:sz w:val="24"/>
          <w:szCs w:val="24"/>
        </w:rPr>
        <w:t>提供每年⾄少</w:t>
      </w:r>
      <w:r>
        <w:rPr>
          <w:rFonts w:hint="eastAsia" w:ascii="宋体" w:hAnsi="宋体" w:eastAsia="宋体" w:cs="宋体"/>
          <w:i w:val="0"/>
          <w:iCs w:val="0"/>
          <w:caps w:val="0"/>
          <w:color w:val="000000"/>
          <w:spacing w:val="0"/>
          <w:sz w:val="24"/>
          <w:szCs w:val="24"/>
          <w:lang w:val="en-US" w:eastAsia="zh-CN"/>
        </w:rPr>
        <w:t>一</w:t>
      </w:r>
      <w:r>
        <w:rPr>
          <w:rFonts w:hint="eastAsia" w:ascii="宋体" w:hAnsi="宋体" w:eastAsia="宋体" w:cs="宋体"/>
          <w:i w:val="0"/>
          <w:iCs w:val="0"/>
          <w:caps w:val="0"/>
          <w:color w:val="000000"/>
          <w:spacing w:val="0"/>
          <w:sz w:val="24"/>
          <w:szCs w:val="24"/>
        </w:rPr>
        <w:t>次院内⼯程师</w:t>
      </w:r>
      <w:r>
        <w:rPr>
          <w:rFonts w:hint="eastAsia" w:ascii="宋体" w:hAnsi="宋体" w:eastAsia="宋体" w:cs="宋体"/>
          <w:i w:val="0"/>
          <w:iCs w:val="0"/>
          <w:caps w:val="0"/>
          <w:color w:val="000000"/>
          <w:spacing w:val="0"/>
          <w:sz w:val="24"/>
          <w:szCs w:val="24"/>
          <w:lang w:val="en-US" w:eastAsia="zh-CN"/>
        </w:rPr>
        <w:t>放射设备维修技术的</w:t>
      </w:r>
      <w:r>
        <w:rPr>
          <w:rFonts w:hint="eastAsia" w:ascii="宋体" w:hAnsi="宋体" w:eastAsia="宋体" w:cs="宋体"/>
          <w:i w:val="0"/>
          <w:iCs w:val="0"/>
          <w:caps w:val="0"/>
          <w:color w:val="000000"/>
          <w:spacing w:val="0"/>
          <w:sz w:val="24"/>
          <w:szCs w:val="24"/>
        </w:rPr>
        <w:t>免费培训</w:t>
      </w:r>
      <w:r>
        <w:rPr>
          <w:rFonts w:hint="eastAsia" w:ascii="宋体" w:hAnsi="宋体" w:eastAsia="宋体" w:cs="宋体"/>
          <w:i w:val="0"/>
          <w:iCs w:val="0"/>
          <w:caps w:val="0"/>
          <w:color w:val="000000"/>
          <w:spacing w:val="0"/>
          <w:sz w:val="24"/>
          <w:szCs w:val="24"/>
          <w:lang w:eastAsia="zh-CN"/>
        </w:rPr>
        <w:t>。</w:t>
      </w:r>
    </w:p>
    <w:p w14:paraId="70BEC4E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sz w:val="24"/>
          <w:szCs w:val="24"/>
        </w:rPr>
        <w:t>▲</w:t>
      </w:r>
      <w:r>
        <w:rPr>
          <w:rFonts w:hint="eastAsia" w:ascii="宋体" w:hAnsi="宋体" w:eastAsia="宋体" w:cs="宋体"/>
          <w:i w:val="0"/>
          <w:iCs w:val="0"/>
          <w:caps w:val="0"/>
          <w:color w:val="000000"/>
          <w:spacing w:val="0"/>
          <w:kern w:val="0"/>
          <w:sz w:val="24"/>
          <w:szCs w:val="24"/>
          <w:lang w:val="en-US" w:eastAsia="zh-CN" w:bidi="ar"/>
        </w:rPr>
        <w:t>23.</w:t>
      </w:r>
      <w:r>
        <w:rPr>
          <w:rFonts w:hint="eastAsia" w:ascii="宋体" w:hAnsi="宋体" w:eastAsia="宋体" w:cs="宋体"/>
          <w:i w:val="0"/>
          <w:iCs w:val="0"/>
          <w:caps w:val="0"/>
          <w:color w:val="000000"/>
          <w:spacing w:val="0"/>
          <w:sz w:val="24"/>
          <w:szCs w:val="24"/>
          <w:lang w:eastAsia="zh-CN"/>
        </w:rPr>
        <w:t>提供能够代表广西水平影像诊断专家，根据科室要求随时进行远程咨询和业务指导，要求专家每</w:t>
      </w:r>
      <w:r>
        <w:rPr>
          <w:rFonts w:hint="eastAsia" w:ascii="宋体" w:hAnsi="宋体" w:eastAsia="宋体" w:cs="宋体"/>
          <w:i w:val="0"/>
          <w:iCs w:val="0"/>
          <w:caps w:val="0"/>
          <w:color w:val="000000"/>
          <w:spacing w:val="0"/>
          <w:sz w:val="24"/>
          <w:szCs w:val="24"/>
          <w:lang w:val="en-US" w:eastAsia="zh-CN"/>
        </w:rPr>
        <w:t>年</w:t>
      </w:r>
      <w:r>
        <w:rPr>
          <w:rFonts w:hint="eastAsia" w:ascii="宋体" w:hAnsi="宋体" w:eastAsia="宋体" w:cs="宋体"/>
          <w:i w:val="0"/>
          <w:iCs w:val="0"/>
          <w:caps w:val="0"/>
          <w:color w:val="000000"/>
          <w:spacing w:val="0"/>
          <w:sz w:val="24"/>
          <w:szCs w:val="24"/>
          <w:lang w:eastAsia="zh-CN"/>
        </w:rPr>
        <w:t>来科室专业指导不少于</w:t>
      </w:r>
      <w:r>
        <w:rPr>
          <w:rFonts w:hint="eastAsia" w:ascii="宋体" w:hAnsi="宋体" w:eastAsia="宋体"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lang w:eastAsia="zh-CN"/>
        </w:rPr>
        <w:t>次。</w:t>
      </w:r>
    </w:p>
    <w:p w14:paraId="0AC7176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Chars="0" w:right="0" w:rightChars="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24.</w:t>
      </w:r>
      <w:r>
        <w:rPr>
          <w:rFonts w:hint="eastAsia" w:ascii="宋体" w:hAnsi="宋体" w:eastAsia="宋体" w:cs="宋体"/>
          <w:i w:val="0"/>
          <w:iCs w:val="0"/>
          <w:caps w:val="0"/>
          <w:color w:val="000000"/>
          <w:spacing w:val="0"/>
          <w:sz w:val="24"/>
          <w:szCs w:val="24"/>
        </w:rPr>
        <w:t>医院如果对该设备有更新、拆机计划，提前⼀个⽉书⾯通知⼚家，终⽌保修服务，按已服务时间结算余款。</w:t>
      </w:r>
    </w:p>
    <w:p w14:paraId="26AC557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25.</w:t>
      </w:r>
      <w:r>
        <w:rPr>
          <w:rFonts w:hint="eastAsia" w:ascii="宋体" w:hAnsi="宋体" w:eastAsia="宋体" w:cs="宋体"/>
          <w:i w:val="0"/>
          <w:iCs w:val="0"/>
          <w:caps w:val="0"/>
          <w:color w:val="000000"/>
          <w:spacing w:val="0"/>
          <w:sz w:val="24"/>
          <w:szCs w:val="24"/>
        </w:rPr>
        <w:t>设备出保⾄3个⽉内需提供免费维修服务，如需更换零配件，需更换原⼚全新零配件，零配件价格不能⾼于政府采购价及第三⽅采购价。</w:t>
      </w:r>
    </w:p>
    <w:p w14:paraId="0E4F7EB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shd w:val="clear" w:fill="FFFFFF"/>
          <w:lang w:val="en-US" w:eastAsia="zh-CN"/>
        </w:rPr>
        <w:t>26.应急维修零配件等费用：成交供应商需承担本项目设备从出保空白期至本项目合同签订期间产生的紧急维修零配件及人工等费用。</w:t>
      </w:r>
    </w:p>
    <w:p w14:paraId="506D0E96">
      <w:pPr>
        <w:pStyle w:val="3"/>
        <w:ind w:left="0" w:leftChars="0"/>
        <w:rPr>
          <w:rFonts w:hint="eastAsia" w:ascii="宋体" w:hAnsi="宋体" w:eastAsia="宋体" w:cs="宋体"/>
          <w:b w:val="0"/>
          <w:bCs w:val="0"/>
          <w:sz w:val="24"/>
          <w:szCs w:val="24"/>
          <w:lang w:val="en-US" w:eastAsia="zh-CN"/>
        </w:rPr>
      </w:pPr>
    </w:p>
    <w:p w14:paraId="4939D76C">
      <w:pPr>
        <w:pStyle w:val="3"/>
        <w:ind w:left="0" w:leftChars="0"/>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 xml:space="preserve">、保修类型：技术保服务  </w:t>
      </w:r>
      <w:r>
        <w:rPr>
          <w:rFonts w:hint="eastAsia" w:ascii="宋体" w:hAnsi="宋体" w:eastAsia="宋体" w:cs="宋体"/>
          <w:b w:val="0"/>
          <w:bCs w:val="0"/>
          <w:sz w:val="24"/>
          <w:szCs w:val="24"/>
        </w:rPr>
        <w:t xml:space="preserve"> </w:t>
      </w:r>
    </w:p>
    <w:p w14:paraId="495F316B">
      <w:pPr>
        <w:pStyle w:val="3"/>
        <w:ind w:left="0" w:leftChars="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kern w:val="0"/>
          <w:sz w:val="24"/>
          <w:szCs w:val="24"/>
        </w:rPr>
        <w:t>设备名称及型号：</w:t>
      </w:r>
    </w:p>
    <w:tbl>
      <w:tblPr>
        <w:tblStyle w:val="9"/>
        <w:tblW w:w="0" w:type="auto"/>
        <w:jc w:val="center"/>
        <w:tblLayout w:type="fixed"/>
        <w:tblCellMar>
          <w:top w:w="0" w:type="dxa"/>
          <w:left w:w="108" w:type="dxa"/>
          <w:bottom w:w="0" w:type="dxa"/>
          <w:right w:w="108" w:type="dxa"/>
        </w:tblCellMar>
      </w:tblPr>
      <w:tblGrid>
        <w:gridCol w:w="924"/>
        <w:gridCol w:w="4363"/>
        <w:gridCol w:w="2931"/>
      </w:tblGrid>
      <w:tr w14:paraId="2BD4D73F">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59A0A68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4363" w:type="dxa"/>
            <w:tcBorders>
              <w:top w:val="single" w:color="auto" w:sz="4" w:space="0"/>
              <w:left w:val="single" w:color="auto" w:sz="4" w:space="0"/>
              <w:bottom w:val="single" w:color="auto" w:sz="4" w:space="0"/>
              <w:right w:val="single" w:color="auto" w:sz="4" w:space="0"/>
            </w:tcBorders>
            <w:noWrap/>
            <w:vAlign w:val="center"/>
          </w:tcPr>
          <w:p w14:paraId="6B5F8AB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设备名称</w:t>
            </w:r>
          </w:p>
        </w:tc>
        <w:tc>
          <w:tcPr>
            <w:tcW w:w="2931" w:type="dxa"/>
            <w:tcBorders>
              <w:top w:val="single" w:color="auto" w:sz="4" w:space="0"/>
              <w:left w:val="single" w:color="auto" w:sz="4" w:space="0"/>
              <w:bottom w:val="single" w:color="auto" w:sz="4" w:space="0"/>
              <w:right w:val="single" w:color="auto" w:sz="4" w:space="0"/>
            </w:tcBorders>
            <w:noWrap/>
            <w:vAlign w:val="center"/>
          </w:tcPr>
          <w:p w14:paraId="4A86C8E3">
            <w:pPr>
              <w:widowControl/>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设备型号</w:t>
            </w:r>
          </w:p>
        </w:tc>
      </w:tr>
      <w:tr w14:paraId="30F675FB">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08E2B3FB">
            <w:pPr>
              <w:jc w:val="center"/>
              <w:rPr>
                <w:rStyle w:val="11"/>
                <w:rFonts w:hint="eastAsia" w:ascii="宋体" w:hAnsi="宋体" w:eastAsia="宋体" w:cs="宋体"/>
                <w:b w:val="0"/>
                <w:bCs w:val="0"/>
                <w:color w:val="000000"/>
                <w:sz w:val="24"/>
                <w:szCs w:val="24"/>
              </w:rPr>
            </w:pPr>
            <w:r>
              <w:rPr>
                <w:rStyle w:val="11"/>
                <w:rFonts w:hint="eastAsia" w:ascii="宋体" w:hAnsi="宋体" w:eastAsia="宋体" w:cs="宋体"/>
                <w:b w:val="0"/>
                <w:bCs w:val="0"/>
                <w:color w:val="000000"/>
                <w:sz w:val="24"/>
                <w:szCs w:val="24"/>
              </w:rPr>
              <w:t>1</w:t>
            </w:r>
          </w:p>
        </w:tc>
        <w:tc>
          <w:tcPr>
            <w:tcW w:w="4363" w:type="dxa"/>
            <w:tcBorders>
              <w:top w:val="single" w:color="auto" w:sz="4" w:space="0"/>
              <w:left w:val="single" w:color="auto" w:sz="4" w:space="0"/>
              <w:bottom w:val="single" w:color="auto" w:sz="4" w:space="0"/>
              <w:right w:val="single" w:color="auto" w:sz="4" w:space="0"/>
            </w:tcBorders>
            <w:noWrap/>
            <w:vAlign w:val="center"/>
          </w:tcPr>
          <w:p w14:paraId="479600DF">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数字化医用X射线摄影系统（DR1）</w:t>
            </w:r>
          </w:p>
        </w:tc>
        <w:tc>
          <w:tcPr>
            <w:tcW w:w="2931" w:type="dxa"/>
            <w:tcBorders>
              <w:left w:val="single" w:color="auto" w:sz="4" w:space="0"/>
              <w:bottom w:val="single" w:color="auto" w:sz="4" w:space="0"/>
              <w:right w:val="single" w:color="auto" w:sz="4" w:space="0"/>
            </w:tcBorders>
            <w:noWrap/>
            <w:vAlign w:val="center"/>
          </w:tcPr>
          <w:p w14:paraId="49A5526B">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VX3733-SYS</w:t>
            </w:r>
          </w:p>
        </w:tc>
      </w:tr>
      <w:tr w14:paraId="3E29AB53">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0C2035FB">
            <w:pPr>
              <w:jc w:val="center"/>
              <w:rPr>
                <w:rStyle w:val="11"/>
                <w:rFonts w:hint="eastAsia" w:ascii="宋体" w:hAnsi="宋体" w:eastAsia="宋体" w:cs="宋体"/>
                <w:b w:val="0"/>
                <w:bCs w:val="0"/>
                <w:color w:val="000000"/>
                <w:sz w:val="24"/>
                <w:szCs w:val="24"/>
              </w:rPr>
            </w:pPr>
            <w:r>
              <w:rPr>
                <w:rStyle w:val="11"/>
                <w:rFonts w:hint="eastAsia" w:ascii="宋体" w:hAnsi="宋体" w:eastAsia="宋体" w:cs="宋体"/>
                <w:b w:val="0"/>
                <w:bCs w:val="0"/>
                <w:color w:val="000000"/>
                <w:sz w:val="24"/>
                <w:szCs w:val="24"/>
              </w:rPr>
              <w:t>2</w:t>
            </w:r>
          </w:p>
        </w:tc>
        <w:tc>
          <w:tcPr>
            <w:tcW w:w="4363" w:type="dxa"/>
            <w:tcBorders>
              <w:top w:val="single" w:color="auto" w:sz="4" w:space="0"/>
              <w:left w:val="single" w:color="auto" w:sz="4" w:space="0"/>
              <w:bottom w:val="single" w:color="auto" w:sz="4" w:space="0"/>
              <w:right w:val="single" w:color="auto" w:sz="4" w:space="0"/>
            </w:tcBorders>
            <w:noWrap/>
            <w:vAlign w:val="center"/>
          </w:tcPr>
          <w:p w14:paraId="542B500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乳腺X射线机</w:t>
            </w:r>
          </w:p>
        </w:tc>
        <w:tc>
          <w:tcPr>
            <w:tcW w:w="2931" w:type="dxa"/>
            <w:tcBorders>
              <w:left w:val="single" w:color="auto" w:sz="4" w:space="0"/>
              <w:bottom w:val="single" w:color="auto" w:sz="4" w:space="0"/>
              <w:right w:val="single" w:color="auto" w:sz="4" w:space="0"/>
            </w:tcBorders>
            <w:noWrap/>
            <w:vAlign w:val="center"/>
          </w:tcPr>
          <w:p w14:paraId="5B3806FC">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Senographe Essentia</w:t>
            </w:r>
          </w:p>
        </w:tc>
      </w:tr>
      <w:tr w14:paraId="4F49ECAF">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570D6BF3">
            <w:pPr>
              <w:jc w:val="center"/>
              <w:rPr>
                <w:rStyle w:val="11"/>
                <w:rFonts w:hint="eastAsia" w:ascii="宋体" w:hAnsi="宋体" w:eastAsia="宋体" w:cs="宋体"/>
                <w:b w:val="0"/>
                <w:bCs w:val="0"/>
                <w:color w:val="000000"/>
                <w:sz w:val="24"/>
                <w:szCs w:val="24"/>
              </w:rPr>
            </w:pPr>
            <w:r>
              <w:rPr>
                <w:rStyle w:val="11"/>
                <w:rFonts w:hint="eastAsia" w:ascii="宋体" w:hAnsi="宋体" w:eastAsia="宋体" w:cs="宋体"/>
                <w:b w:val="0"/>
                <w:bCs w:val="0"/>
                <w:color w:val="000000"/>
                <w:sz w:val="24"/>
                <w:szCs w:val="24"/>
              </w:rPr>
              <w:t>3</w:t>
            </w:r>
          </w:p>
        </w:tc>
        <w:tc>
          <w:tcPr>
            <w:tcW w:w="4363" w:type="dxa"/>
            <w:tcBorders>
              <w:top w:val="single" w:color="auto" w:sz="4" w:space="0"/>
              <w:left w:val="single" w:color="auto" w:sz="4" w:space="0"/>
              <w:bottom w:val="single" w:color="auto" w:sz="4" w:space="0"/>
              <w:right w:val="single" w:color="auto" w:sz="4" w:space="0"/>
            </w:tcBorders>
            <w:noWrap/>
            <w:vAlign w:val="center"/>
          </w:tcPr>
          <w:p w14:paraId="34C0127A">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X射线计算机体层摄影设备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（发热门诊CT）</w:t>
            </w:r>
          </w:p>
        </w:tc>
        <w:tc>
          <w:tcPr>
            <w:tcW w:w="2931" w:type="dxa"/>
            <w:tcBorders>
              <w:top w:val="single" w:color="auto" w:sz="4" w:space="0"/>
              <w:left w:val="single" w:color="auto" w:sz="4" w:space="0"/>
              <w:bottom w:val="single" w:color="auto" w:sz="4" w:space="0"/>
              <w:right w:val="single" w:color="auto" w:sz="4" w:space="0"/>
            </w:tcBorders>
            <w:noWrap/>
            <w:vAlign w:val="center"/>
          </w:tcPr>
          <w:p w14:paraId="36E0C1E7">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SOMATOM go.Now</w:t>
            </w:r>
          </w:p>
        </w:tc>
      </w:tr>
      <w:tr w14:paraId="3EFB3FED">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485394D6">
            <w:pPr>
              <w:jc w:val="center"/>
              <w:rPr>
                <w:rStyle w:val="11"/>
                <w:rFonts w:hint="eastAsia" w:ascii="宋体" w:hAnsi="宋体" w:eastAsia="宋体" w:cs="宋体"/>
                <w:b w:val="0"/>
                <w:bCs w:val="0"/>
                <w:color w:val="000000"/>
                <w:sz w:val="24"/>
                <w:szCs w:val="24"/>
              </w:rPr>
            </w:pPr>
            <w:r>
              <w:rPr>
                <w:rStyle w:val="11"/>
                <w:rFonts w:hint="eastAsia" w:ascii="宋体" w:hAnsi="宋体" w:eastAsia="宋体" w:cs="宋体"/>
                <w:b w:val="0"/>
                <w:bCs w:val="0"/>
                <w:color w:val="000000"/>
                <w:sz w:val="24"/>
                <w:szCs w:val="24"/>
              </w:rPr>
              <w:t>4</w:t>
            </w:r>
          </w:p>
        </w:tc>
        <w:tc>
          <w:tcPr>
            <w:tcW w:w="4363" w:type="dxa"/>
            <w:tcBorders>
              <w:top w:val="single" w:color="auto" w:sz="4" w:space="0"/>
              <w:left w:val="single" w:color="auto" w:sz="4" w:space="0"/>
              <w:bottom w:val="single" w:color="auto" w:sz="4" w:space="0"/>
              <w:right w:val="single" w:color="auto" w:sz="4" w:space="0"/>
            </w:tcBorders>
            <w:noWrap/>
            <w:vAlign w:val="center"/>
          </w:tcPr>
          <w:p w14:paraId="091E4AF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X射线计算机体层摄影设备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（禁山应急病区）</w:t>
            </w:r>
          </w:p>
        </w:tc>
        <w:tc>
          <w:tcPr>
            <w:tcW w:w="2931" w:type="dxa"/>
            <w:tcBorders>
              <w:top w:val="single" w:color="auto" w:sz="4" w:space="0"/>
              <w:left w:val="single" w:color="auto" w:sz="4" w:space="0"/>
              <w:bottom w:val="single" w:color="auto" w:sz="4" w:space="0"/>
              <w:right w:val="single" w:color="auto" w:sz="4" w:space="0"/>
            </w:tcBorders>
            <w:noWrap/>
            <w:vAlign w:val="center"/>
          </w:tcPr>
          <w:p w14:paraId="6E303225">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SOMATOM go.Now</w:t>
            </w:r>
          </w:p>
        </w:tc>
      </w:tr>
      <w:tr w14:paraId="2A2FF63A">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4D8F8E13">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w:t>
            </w:r>
          </w:p>
        </w:tc>
        <w:tc>
          <w:tcPr>
            <w:tcW w:w="4363" w:type="dxa"/>
            <w:tcBorders>
              <w:top w:val="single" w:color="auto" w:sz="4" w:space="0"/>
              <w:left w:val="single" w:color="auto" w:sz="4" w:space="0"/>
              <w:bottom w:val="single" w:color="auto" w:sz="4" w:space="0"/>
              <w:right w:val="single" w:color="auto" w:sz="4" w:space="0"/>
            </w:tcBorders>
            <w:noWrap/>
            <w:vAlign w:val="center"/>
          </w:tcPr>
          <w:p w14:paraId="6389989D">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口腔颌面锥形束计算机体层摄影系统</w:t>
            </w:r>
          </w:p>
        </w:tc>
        <w:tc>
          <w:tcPr>
            <w:tcW w:w="2931" w:type="dxa"/>
            <w:tcBorders>
              <w:top w:val="single" w:color="auto" w:sz="4" w:space="0"/>
              <w:left w:val="single" w:color="auto" w:sz="4" w:space="0"/>
              <w:bottom w:val="single" w:color="auto" w:sz="4" w:space="0"/>
              <w:right w:val="single" w:color="auto" w:sz="4" w:space="0"/>
            </w:tcBorders>
            <w:noWrap/>
            <w:vAlign w:val="center"/>
          </w:tcPr>
          <w:p w14:paraId="31BD051C">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MAXCranex3Dx  pp3-1</w:t>
            </w:r>
          </w:p>
        </w:tc>
      </w:tr>
      <w:tr w14:paraId="28D42150">
        <w:tblPrEx>
          <w:tblCellMar>
            <w:top w:w="0" w:type="dxa"/>
            <w:left w:w="108" w:type="dxa"/>
            <w:bottom w:w="0" w:type="dxa"/>
            <w:right w:w="108" w:type="dxa"/>
          </w:tblCellMar>
        </w:tblPrEx>
        <w:trPr>
          <w:trHeight w:val="472"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2F47085C">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4363" w:type="dxa"/>
            <w:tcBorders>
              <w:top w:val="single" w:color="auto" w:sz="4" w:space="0"/>
              <w:left w:val="single" w:color="auto" w:sz="4" w:space="0"/>
              <w:bottom w:val="single" w:color="auto" w:sz="4" w:space="0"/>
              <w:right w:val="single" w:color="auto" w:sz="4" w:space="0"/>
            </w:tcBorders>
            <w:noWrap/>
            <w:vAlign w:val="center"/>
          </w:tcPr>
          <w:p w14:paraId="5A80B48D">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数字化医用X射线摄影系统</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（禁山应急病区DR）</w:t>
            </w:r>
          </w:p>
        </w:tc>
        <w:tc>
          <w:tcPr>
            <w:tcW w:w="2931" w:type="dxa"/>
            <w:tcBorders>
              <w:top w:val="single" w:color="auto" w:sz="4" w:space="0"/>
              <w:left w:val="single" w:color="auto" w:sz="4" w:space="0"/>
              <w:bottom w:val="single" w:color="auto" w:sz="4" w:space="0"/>
              <w:right w:val="single" w:color="auto" w:sz="4" w:space="0"/>
            </w:tcBorders>
            <w:noWrap/>
            <w:vAlign w:val="center"/>
          </w:tcPr>
          <w:p w14:paraId="00F4E319">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DRX-Compass S</w:t>
            </w:r>
          </w:p>
        </w:tc>
      </w:tr>
      <w:tr w14:paraId="5ECE0EB6">
        <w:tblPrEx>
          <w:tblCellMar>
            <w:top w:w="0" w:type="dxa"/>
            <w:left w:w="108" w:type="dxa"/>
            <w:bottom w:w="0" w:type="dxa"/>
            <w:right w:w="108" w:type="dxa"/>
          </w:tblCellMar>
        </w:tblPrEx>
        <w:trPr>
          <w:trHeight w:val="34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6EC4C652">
            <w:pPr>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w:t>
            </w:r>
          </w:p>
        </w:tc>
        <w:tc>
          <w:tcPr>
            <w:tcW w:w="4363" w:type="dxa"/>
            <w:tcBorders>
              <w:top w:val="single" w:color="auto" w:sz="4" w:space="0"/>
              <w:left w:val="single" w:color="auto" w:sz="4" w:space="0"/>
              <w:bottom w:val="single" w:color="auto" w:sz="4" w:space="0"/>
              <w:right w:val="single" w:color="auto" w:sz="4" w:space="0"/>
            </w:tcBorders>
            <w:noWrap/>
            <w:vAlign w:val="center"/>
          </w:tcPr>
          <w:p w14:paraId="261747D3">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数字化医用X射线摄影系统</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（DR2）</w:t>
            </w:r>
          </w:p>
        </w:tc>
        <w:tc>
          <w:tcPr>
            <w:tcW w:w="2931" w:type="dxa"/>
            <w:tcBorders>
              <w:top w:val="single" w:color="auto" w:sz="4" w:space="0"/>
              <w:left w:val="single" w:color="auto" w:sz="4" w:space="0"/>
              <w:bottom w:val="single" w:color="auto" w:sz="4" w:space="0"/>
              <w:right w:val="single" w:color="auto" w:sz="4" w:space="0"/>
            </w:tcBorders>
            <w:noWrap/>
            <w:vAlign w:val="center"/>
          </w:tcPr>
          <w:p w14:paraId="030D3280">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DRX-EVOLUTION</w:t>
            </w:r>
          </w:p>
        </w:tc>
      </w:tr>
      <w:tr w14:paraId="0F1278A1">
        <w:tblPrEx>
          <w:tblCellMar>
            <w:top w:w="0" w:type="dxa"/>
            <w:left w:w="108" w:type="dxa"/>
            <w:bottom w:w="0" w:type="dxa"/>
            <w:right w:w="108" w:type="dxa"/>
          </w:tblCellMar>
        </w:tblPrEx>
        <w:trPr>
          <w:trHeight w:val="323"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1767D94C">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w:t>
            </w:r>
          </w:p>
        </w:tc>
        <w:tc>
          <w:tcPr>
            <w:tcW w:w="43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6B028">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移动式摄影X射线机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（移动DR）</w:t>
            </w:r>
          </w:p>
        </w:tc>
        <w:tc>
          <w:tcPr>
            <w:tcW w:w="2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56D93">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DRX-Revolution</w:t>
            </w:r>
          </w:p>
        </w:tc>
      </w:tr>
      <w:tr w14:paraId="0CECF777">
        <w:tblPrEx>
          <w:tblCellMar>
            <w:top w:w="0" w:type="dxa"/>
            <w:left w:w="108" w:type="dxa"/>
            <w:bottom w:w="0" w:type="dxa"/>
            <w:right w:w="108" w:type="dxa"/>
          </w:tblCellMar>
        </w:tblPrEx>
        <w:trPr>
          <w:trHeight w:val="323"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1AC086EA">
            <w:pPr>
              <w:jc w:val="center"/>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9</w:t>
            </w:r>
          </w:p>
        </w:tc>
        <w:tc>
          <w:tcPr>
            <w:tcW w:w="4363" w:type="dxa"/>
            <w:tcBorders>
              <w:top w:val="single" w:color="auto" w:sz="4" w:space="0"/>
              <w:left w:val="single" w:color="auto" w:sz="4" w:space="0"/>
              <w:bottom w:val="single" w:color="auto" w:sz="4" w:space="0"/>
              <w:right w:val="single" w:color="auto" w:sz="4" w:space="0"/>
            </w:tcBorders>
            <w:noWrap/>
            <w:vAlign w:val="center"/>
          </w:tcPr>
          <w:p w14:paraId="31665EA8">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车载DR（健康体检车）</w:t>
            </w:r>
          </w:p>
        </w:tc>
        <w:tc>
          <w:tcPr>
            <w:tcW w:w="2931" w:type="dxa"/>
            <w:tcBorders>
              <w:top w:val="single" w:color="auto" w:sz="4" w:space="0"/>
              <w:left w:val="single" w:color="auto" w:sz="4" w:space="0"/>
              <w:bottom w:val="single" w:color="auto" w:sz="4" w:space="0"/>
              <w:right w:val="single" w:color="auto" w:sz="4" w:space="0"/>
            </w:tcBorders>
            <w:noWrap/>
            <w:vAlign w:val="center"/>
          </w:tcPr>
          <w:p w14:paraId="3060CD5B">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DXR-530</w:t>
            </w:r>
          </w:p>
        </w:tc>
      </w:tr>
      <w:tr w14:paraId="57CC03C2">
        <w:tblPrEx>
          <w:tblCellMar>
            <w:top w:w="0" w:type="dxa"/>
            <w:left w:w="108" w:type="dxa"/>
            <w:bottom w:w="0" w:type="dxa"/>
            <w:right w:w="108" w:type="dxa"/>
          </w:tblCellMar>
        </w:tblPrEx>
        <w:trPr>
          <w:trHeight w:val="323"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37AABE97">
            <w:pPr>
              <w:jc w:val="center"/>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w:t>
            </w:r>
          </w:p>
        </w:tc>
        <w:tc>
          <w:tcPr>
            <w:tcW w:w="4363" w:type="dxa"/>
            <w:tcBorders>
              <w:top w:val="single" w:color="auto" w:sz="4" w:space="0"/>
              <w:left w:val="single" w:color="auto" w:sz="4" w:space="0"/>
              <w:bottom w:val="single" w:color="auto" w:sz="4" w:space="0"/>
              <w:right w:val="single" w:color="auto" w:sz="4" w:space="0"/>
            </w:tcBorders>
            <w:noWrap/>
            <w:vAlign w:val="center"/>
          </w:tcPr>
          <w:p w14:paraId="5054CB0A">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移动式摄影X射线机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（移动DR）</w:t>
            </w:r>
          </w:p>
        </w:tc>
        <w:tc>
          <w:tcPr>
            <w:tcW w:w="2931" w:type="dxa"/>
            <w:tcBorders>
              <w:top w:val="single" w:color="auto" w:sz="4" w:space="0"/>
              <w:left w:val="single" w:color="auto" w:sz="4" w:space="0"/>
              <w:bottom w:val="single" w:color="auto" w:sz="4" w:space="0"/>
              <w:right w:val="single" w:color="auto" w:sz="4" w:space="0"/>
            </w:tcBorders>
            <w:noWrap/>
            <w:vAlign w:val="center"/>
          </w:tcPr>
          <w:p w14:paraId="065FAE0A">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PXD-2000</w:t>
            </w:r>
          </w:p>
        </w:tc>
      </w:tr>
      <w:tr w14:paraId="19E043DF">
        <w:tblPrEx>
          <w:tblCellMar>
            <w:top w:w="0" w:type="dxa"/>
            <w:left w:w="108" w:type="dxa"/>
            <w:bottom w:w="0" w:type="dxa"/>
            <w:right w:w="108" w:type="dxa"/>
          </w:tblCellMar>
        </w:tblPrEx>
        <w:trPr>
          <w:trHeight w:val="323"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14:paraId="33C9EC3A">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w:t>
            </w:r>
          </w:p>
        </w:tc>
        <w:tc>
          <w:tcPr>
            <w:tcW w:w="4363" w:type="dxa"/>
            <w:tcBorders>
              <w:top w:val="single" w:color="auto" w:sz="4" w:space="0"/>
              <w:left w:val="single" w:color="auto" w:sz="4" w:space="0"/>
              <w:bottom w:val="single" w:color="auto" w:sz="4" w:space="0"/>
              <w:right w:val="single" w:color="auto" w:sz="4" w:space="0"/>
            </w:tcBorders>
            <w:noWrap/>
            <w:vAlign w:val="center"/>
          </w:tcPr>
          <w:p w14:paraId="6B259BBD">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移动式C形臂X射线机</w:t>
            </w:r>
          </w:p>
        </w:tc>
        <w:tc>
          <w:tcPr>
            <w:tcW w:w="2931" w:type="dxa"/>
            <w:tcBorders>
              <w:top w:val="single" w:color="auto" w:sz="4" w:space="0"/>
              <w:left w:val="single" w:color="auto" w:sz="4" w:space="0"/>
              <w:bottom w:val="single" w:color="auto" w:sz="4" w:space="0"/>
              <w:right w:val="single" w:color="auto" w:sz="4" w:space="0"/>
            </w:tcBorders>
            <w:noWrap/>
            <w:vAlign w:val="center"/>
          </w:tcPr>
          <w:p w14:paraId="36C39C2A">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OEC 9900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Elite</w:t>
            </w:r>
          </w:p>
        </w:tc>
      </w:tr>
    </w:tbl>
    <w:p w14:paraId="6D9BA71F">
      <w:pPr>
        <w:spacing w:line="480" w:lineRule="exact"/>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rPr>
        <w:t>2.</w:t>
      </w:r>
      <w:r>
        <w:rPr>
          <w:rFonts w:hint="eastAsia" w:ascii="宋体" w:hAnsi="宋体" w:eastAsia="宋体" w:cs="宋体"/>
          <w:b w:val="0"/>
          <w:bCs w:val="0"/>
          <w:sz w:val="24"/>
          <w:szCs w:val="24"/>
        </w:rPr>
        <w:t>保修内容：</w:t>
      </w:r>
      <w:r>
        <w:rPr>
          <w:rFonts w:hint="eastAsia" w:ascii="宋体" w:hAnsi="宋体" w:eastAsia="宋体" w:cs="宋体"/>
          <w:b w:val="0"/>
          <w:bCs w:val="0"/>
          <w:kern w:val="0"/>
          <w:sz w:val="24"/>
          <w:szCs w:val="24"/>
        </w:rPr>
        <w:t>包含10000元以下配件</w:t>
      </w:r>
      <w:r>
        <w:rPr>
          <w:rFonts w:hint="eastAsia" w:ascii="宋体" w:hAnsi="宋体" w:eastAsia="宋体" w:cs="宋体"/>
          <w:b w:val="0"/>
          <w:bCs w:val="0"/>
          <w:kern w:val="0"/>
          <w:sz w:val="24"/>
          <w:szCs w:val="24"/>
          <w:lang w:val="en-US" w:eastAsia="zh-CN"/>
        </w:rPr>
        <w:t>免费更换（以对应品牌厂家报价为准）</w:t>
      </w:r>
      <w:r>
        <w:rPr>
          <w:rFonts w:hint="eastAsia" w:ascii="宋体" w:hAnsi="宋体" w:eastAsia="宋体" w:cs="宋体"/>
          <w:b w:val="0"/>
          <w:bCs w:val="0"/>
          <w:kern w:val="0"/>
          <w:sz w:val="24"/>
          <w:szCs w:val="24"/>
        </w:rPr>
        <w:t>，包含CT、CT</w:t>
      </w:r>
      <w:r>
        <w:rPr>
          <w:rFonts w:hint="eastAsia" w:ascii="宋体" w:hAnsi="宋体" w:eastAsia="宋体" w:cs="宋体"/>
          <w:b w:val="0"/>
          <w:bCs w:val="0"/>
          <w:kern w:val="0"/>
          <w:sz w:val="24"/>
          <w:szCs w:val="24"/>
          <w:lang w:val="en-US" w:eastAsia="zh-CN"/>
        </w:rPr>
        <w:t>的</w:t>
      </w:r>
      <w:r>
        <w:rPr>
          <w:rFonts w:hint="eastAsia" w:ascii="宋体" w:hAnsi="宋体" w:eastAsia="宋体" w:cs="宋体"/>
          <w:b w:val="0"/>
          <w:bCs w:val="0"/>
          <w:kern w:val="0"/>
          <w:sz w:val="24"/>
          <w:szCs w:val="24"/>
        </w:rPr>
        <w:t>UPS及后处理工作站维护，不限次数免费现场维修人工费、差旅费及故障诊断费用。</w:t>
      </w:r>
      <w:r>
        <w:rPr>
          <w:rFonts w:hint="eastAsia" w:ascii="宋体" w:hAnsi="宋体" w:eastAsia="宋体" w:cs="宋体"/>
          <w:b w:val="0"/>
          <w:bCs w:val="0"/>
          <w:sz w:val="24"/>
          <w:szCs w:val="24"/>
        </w:rPr>
        <w:t>提供365天24小时咨询和响应，由专业工程师提供每年不少于4次对系统专业保养，包括设备安全检查，性能服务测试，影像质量检查，设备除尘保养，运行状态检查，确保服务质量。派工次数不限，享受优先派工。工程师提供7×24小时在线技术支持，节假日不休，提供全国范围内热线电话，提供微信、传真、电子邮件等联络方式，确保开机率≥96%，全力配合医院开展工作。</w:t>
      </w:r>
    </w:p>
    <w:p w14:paraId="7B138D4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b/>
          <w:bCs/>
          <w:color w:val="auto"/>
          <w:sz w:val="24"/>
          <w:szCs w:val="24"/>
          <w:highlight w:val="none"/>
          <w:lang w:val="en-US" w:eastAsia="zh-CN"/>
        </w:rPr>
      </w:pPr>
    </w:p>
    <w:p w14:paraId="3C4B3F7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kern w:val="2"/>
          <w:sz w:val="24"/>
          <w:szCs w:val="24"/>
          <w:lang w:val="en-US" w:eastAsia="zh-CN" w:bidi="ar"/>
        </w:rPr>
        <w:t>配套服务管理软件</w:t>
      </w:r>
    </w:p>
    <w:p w14:paraId="1861710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hint="eastAsia" w:ascii="宋体" w:hAnsi="宋体" w:eastAsia="宋体" w:cs="宋体"/>
          <w:sz w:val="24"/>
          <w:szCs w:val="24"/>
          <w:lang w:val="en-US" w:eastAsia="zh-CN"/>
        </w:rPr>
      </w:pPr>
    </w:p>
    <w:p w14:paraId="5AFA14C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0"/>
        <w:textAlignment w:val="auto"/>
        <w:rPr>
          <w:rFonts w:ascii="宋体" w:hAnsi="宋体" w:eastAsia="宋体" w:cs="宋体"/>
          <w:i w:val="0"/>
          <w:iCs w:val="0"/>
          <w:caps w:val="0"/>
          <w:color w:val="000000"/>
          <w:spacing w:val="0"/>
          <w:sz w:val="24"/>
          <w:szCs w:val="24"/>
          <w:shd w:val="clear" w:fill="FFFFFF"/>
        </w:rPr>
      </w:pPr>
      <w:r>
        <w:rPr>
          <w:rFonts w:hint="eastAsia" w:ascii="宋体" w:hAnsi="宋体" w:eastAsia="宋体" w:cs="宋体"/>
          <w:sz w:val="24"/>
          <w:szCs w:val="24"/>
          <w:lang w:val="en-US" w:eastAsia="zh-CN"/>
        </w:rPr>
        <w:t>1.</w:t>
      </w:r>
      <w:r>
        <w:rPr>
          <w:rFonts w:ascii="宋体" w:hAnsi="宋体" w:eastAsia="宋体" w:cs="宋体"/>
          <w:sz w:val="24"/>
          <w:szCs w:val="24"/>
        </w:rPr>
        <w:t>免费提供</w:t>
      </w:r>
      <w:r>
        <w:rPr>
          <w:rFonts w:hint="eastAsia" w:ascii="宋体" w:hAnsi="宋体" w:eastAsia="宋体" w:cs="宋体"/>
          <w:sz w:val="24"/>
          <w:szCs w:val="24"/>
          <w:lang w:val="en-US" w:eastAsia="zh-CN"/>
        </w:rPr>
        <w:t>定制化设备全生命周期</w:t>
      </w:r>
      <w:r>
        <w:rPr>
          <w:rFonts w:ascii="宋体" w:hAnsi="宋体" w:eastAsia="宋体" w:cs="宋体"/>
          <w:sz w:val="24"/>
          <w:szCs w:val="24"/>
        </w:rPr>
        <w:t>系统，</w:t>
      </w:r>
      <w:r>
        <w:rPr>
          <w:rFonts w:hint="eastAsia" w:ascii="宋体" w:hAnsi="宋体" w:eastAsia="宋体" w:cs="宋体"/>
          <w:sz w:val="24"/>
          <w:szCs w:val="24"/>
          <w:lang w:val="en-US" w:eastAsia="zh-CN"/>
        </w:rPr>
        <w:t>可根据医院实际管理需求，定制</w:t>
      </w:r>
      <w:r>
        <w:rPr>
          <w:rFonts w:ascii="宋体" w:hAnsi="宋体" w:eastAsia="宋体" w:cs="宋体"/>
          <w:sz w:val="24"/>
          <w:szCs w:val="24"/>
        </w:rPr>
        <w:t>达到以下功能：采用条码管理、包含设备申购管理、资产管理、档案管理、维修管理、效益分析、PM维护、质量控制、厂商管理、合同管理、报表管理等</w:t>
      </w:r>
      <w:r>
        <w:rPr>
          <w:rFonts w:hint="eastAsia" w:ascii="宋体" w:hAnsi="宋体" w:eastAsia="宋体" w:cs="宋体"/>
          <w:sz w:val="24"/>
          <w:szCs w:val="24"/>
          <w:lang w:val="en-US" w:eastAsia="zh-CN"/>
        </w:rPr>
        <w:t>相关管理</w:t>
      </w:r>
      <w:r>
        <w:rPr>
          <w:rFonts w:ascii="宋体" w:hAnsi="宋体" w:eastAsia="宋体" w:cs="宋体"/>
          <w:sz w:val="24"/>
          <w:szCs w:val="24"/>
        </w:rPr>
        <w:t>功能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如有医院需求及政策改变则</w:t>
      </w:r>
      <w:bookmarkStart w:id="0" w:name="_GoBack"/>
      <w:bookmarkEnd w:id="0"/>
      <w:r>
        <w:rPr>
          <w:rFonts w:hint="eastAsia" w:ascii="宋体" w:hAnsi="宋体" w:eastAsia="宋体" w:cs="宋体"/>
          <w:sz w:val="24"/>
          <w:szCs w:val="24"/>
          <w:lang w:val="en-US" w:eastAsia="zh-CN"/>
        </w:rPr>
        <w:t>提供免费定制软件功能升级服务</w:t>
      </w:r>
      <w:r>
        <w:rPr>
          <w:rFonts w:hint="eastAsia" w:ascii="宋体" w:hAnsi="宋体" w:eastAsia="宋体" w:cs="宋体"/>
          <w:sz w:val="24"/>
          <w:szCs w:val="24"/>
          <w:lang w:eastAsia="zh-CN"/>
        </w:rPr>
        <w:t>）</w:t>
      </w:r>
      <w:r>
        <w:rPr>
          <w:rFonts w:ascii="宋体" w:hAnsi="宋体" w:eastAsia="宋体" w:cs="宋体"/>
          <w:sz w:val="24"/>
          <w:szCs w:val="24"/>
        </w:rPr>
        <w:t>。可手机、电脑、微信</w:t>
      </w:r>
      <w:r>
        <w:rPr>
          <w:rFonts w:ascii="宋体" w:hAnsi="宋体" w:eastAsia="宋体" w:cs="宋体"/>
          <w:i w:val="0"/>
          <w:iCs w:val="0"/>
          <w:caps w:val="0"/>
          <w:color w:val="000000"/>
          <w:spacing w:val="0"/>
          <w:sz w:val="24"/>
          <w:szCs w:val="24"/>
          <w:shd w:val="clear" w:fill="FFFFFF"/>
        </w:rPr>
        <w:t>多种型式报修设备。</w:t>
      </w:r>
    </w:p>
    <w:p w14:paraId="7A3C14DD">
      <w:pPr>
        <w:keepNext w:val="0"/>
        <w:keepLines w:val="0"/>
        <w:widowControl w:val="0"/>
        <w:suppressLineNumbers w:val="0"/>
        <w:spacing w:before="0" w:beforeAutospacing="0" w:after="0" w:afterAutospacing="0" w:line="420" w:lineRule="atLeast"/>
        <w:ind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2.供应商需为采购方提供</w:t>
      </w:r>
      <w:r>
        <w:rPr>
          <w:rFonts w:hint="eastAsia" w:ascii="Calibri" w:hAnsi="Calibri" w:eastAsia="宋体" w:cs="宋体"/>
          <w:kern w:val="2"/>
          <w:sz w:val="24"/>
          <w:szCs w:val="22"/>
          <w:lang w:val="en-US" w:eastAsia="zh-CN" w:bidi="ar"/>
        </w:rPr>
        <w:t>依法享有完全使用权</w:t>
      </w:r>
      <w:r>
        <w:rPr>
          <w:rFonts w:hint="eastAsia" w:ascii="Calibri" w:hAnsi="Calibri" w:cs="宋体"/>
          <w:kern w:val="2"/>
          <w:sz w:val="24"/>
          <w:szCs w:val="22"/>
          <w:lang w:val="en-US" w:eastAsia="zh-CN" w:bidi="ar"/>
        </w:rPr>
        <w:t>且</w:t>
      </w:r>
      <w:r>
        <w:rPr>
          <w:rFonts w:hint="eastAsia" w:ascii="宋体" w:hAnsi="宋体" w:cs="宋体"/>
          <w:kern w:val="2"/>
          <w:sz w:val="24"/>
          <w:szCs w:val="24"/>
          <w:lang w:val="en-US" w:eastAsia="zh-CN" w:bidi="ar"/>
        </w:rPr>
        <w:t>符合三甲医院管理流程</w:t>
      </w:r>
      <w:r>
        <w:rPr>
          <w:rFonts w:hint="eastAsia" w:ascii="宋体" w:hAnsi="宋体" w:eastAsia="宋体" w:cs="宋体"/>
          <w:kern w:val="2"/>
          <w:sz w:val="24"/>
          <w:szCs w:val="24"/>
          <w:lang w:val="en-US" w:eastAsia="zh-CN" w:bidi="ar"/>
        </w:rPr>
        <w:t>的医疗设备生命周期管理软件，软件系统具有信息系统安全等级三级保护备案证明，保证采购人数据不外泄。同时供应商</w:t>
      </w:r>
      <w:r>
        <w:rPr>
          <w:rFonts w:hint="eastAsia" w:ascii="宋体" w:hAnsi="宋体" w:cs="宋体"/>
          <w:kern w:val="2"/>
          <w:sz w:val="24"/>
          <w:szCs w:val="24"/>
          <w:lang w:val="en-US" w:eastAsia="zh-CN" w:bidi="ar"/>
        </w:rPr>
        <w:t>自身</w:t>
      </w:r>
      <w:r>
        <w:rPr>
          <w:rFonts w:hint="eastAsia" w:ascii="宋体" w:hAnsi="宋体" w:eastAsia="宋体" w:cs="宋体"/>
          <w:kern w:val="2"/>
          <w:sz w:val="24"/>
          <w:szCs w:val="24"/>
          <w:lang w:val="en-US" w:eastAsia="zh-CN" w:bidi="ar"/>
        </w:rPr>
        <w:t>需</w:t>
      </w:r>
      <w:r>
        <w:rPr>
          <w:rFonts w:hint="eastAsia" w:ascii="宋体" w:hAnsi="宋体" w:cs="宋体"/>
          <w:kern w:val="2"/>
          <w:sz w:val="24"/>
          <w:szCs w:val="24"/>
          <w:lang w:val="en-US" w:eastAsia="zh-CN" w:bidi="ar"/>
        </w:rPr>
        <w:t>具备</w:t>
      </w:r>
      <w:r>
        <w:rPr>
          <w:rFonts w:hint="eastAsia" w:ascii="宋体" w:hAnsi="宋体" w:eastAsia="宋体" w:cs="宋体"/>
          <w:kern w:val="2"/>
          <w:sz w:val="24"/>
          <w:szCs w:val="24"/>
          <w:lang w:val="en-US" w:eastAsia="zh-CN" w:bidi="ar"/>
        </w:rPr>
        <w:t>与采购人</w:t>
      </w:r>
      <w:r>
        <w:rPr>
          <w:rFonts w:hint="eastAsia" w:ascii="宋体" w:hAnsi="宋体" w:cs="宋体"/>
          <w:kern w:val="2"/>
          <w:sz w:val="24"/>
          <w:szCs w:val="24"/>
          <w:lang w:val="en-US" w:eastAsia="zh-CN" w:bidi="ar"/>
        </w:rPr>
        <w:t>根据三甲医院</w:t>
      </w:r>
      <w:r>
        <w:rPr>
          <w:rFonts w:hint="eastAsia" w:ascii="宋体" w:hAnsi="宋体" w:eastAsia="宋体" w:cs="宋体"/>
          <w:kern w:val="2"/>
          <w:sz w:val="24"/>
          <w:szCs w:val="24"/>
          <w:lang w:val="en-US" w:eastAsia="zh-CN" w:bidi="ar"/>
        </w:rPr>
        <w:t>管理流程</w:t>
      </w:r>
      <w:r>
        <w:rPr>
          <w:rFonts w:hint="eastAsia" w:ascii="宋体" w:hAnsi="宋体" w:cs="宋体"/>
          <w:kern w:val="2"/>
          <w:sz w:val="24"/>
          <w:szCs w:val="24"/>
          <w:lang w:val="en-US" w:eastAsia="zh-CN" w:bidi="ar"/>
        </w:rPr>
        <w:t>进行二次开发</w:t>
      </w:r>
      <w:r>
        <w:rPr>
          <w:rFonts w:hint="eastAsia" w:ascii="宋体" w:hAnsi="宋体" w:eastAsia="宋体" w:cs="宋体"/>
          <w:kern w:val="2"/>
          <w:sz w:val="24"/>
          <w:szCs w:val="24"/>
          <w:lang w:val="en-US" w:eastAsia="zh-CN" w:bidi="ar"/>
        </w:rPr>
        <w:t>医疗设备全生命周期管理平台</w:t>
      </w:r>
      <w:r>
        <w:rPr>
          <w:rFonts w:hint="eastAsia" w:ascii="宋体" w:hAnsi="宋体" w:cs="宋体"/>
          <w:kern w:val="2"/>
          <w:sz w:val="24"/>
          <w:szCs w:val="24"/>
          <w:lang w:val="en-US" w:eastAsia="zh-CN" w:bidi="ar"/>
        </w:rPr>
        <w:t>的能力，以达到医院所需功能</w:t>
      </w:r>
      <w:r>
        <w:rPr>
          <w:rFonts w:hint="eastAsia" w:ascii="宋体" w:hAnsi="宋体" w:eastAsia="宋体" w:cs="宋体"/>
          <w:kern w:val="2"/>
          <w:sz w:val="24"/>
          <w:szCs w:val="24"/>
          <w:lang w:val="en-US" w:eastAsia="zh-CN" w:bidi="ar"/>
        </w:rPr>
        <w:t>，协助医院做好数据安全防护</w:t>
      </w:r>
      <w:r>
        <w:rPr>
          <w:rFonts w:hint="eastAsia" w:ascii="宋体" w:hAnsi="宋体" w:cs="宋体"/>
          <w:kern w:val="2"/>
          <w:sz w:val="24"/>
          <w:szCs w:val="24"/>
          <w:lang w:val="en-US" w:eastAsia="zh-CN" w:bidi="ar"/>
        </w:rPr>
        <w:t>，并承担与医院的信息集成平台数据接口费用，做好数据对接工作</w:t>
      </w:r>
      <w:r>
        <w:rPr>
          <w:rFonts w:hint="eastAsia" w:ascii="宋体" w:hAnsi="宋体" w:eastAsia="宋体" w:cs="宋体"/>
          <w:kern w:val="2"/>
          <w:sz w:val="24"/>
          <w:szCs w:val="24"/>
          <w:lang w:val="en-US" w:eastAsia="zh-CN" w:bidi="ar"/>
        </w:rPr>
        <w:t>。</w:t>
      </w:r>
    </w:p>
    <w:p w14:paraId="395C0218">
      <w:pPr>
        <w:keepNext w:val="0"/>
        <w:keepLines w:val="0"/>
        <w:widowControl w:val="0"/>
        <w:suppressLineNumbers w:val="0"/>
        <w:spacing w:before="0" w:beforeAutospacing="0" w:after="0" w:afterAutospacing="0" w:line="420" w:lineRule="atLeast"/>
        <w:ind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该系统可实现通过电脑端/手机端管理全院医疗设备，实现移动端设备勘察、扫一扫报修、维修、巡检、保养、质控和设备报废等全生命周期管理，线上化签字验收，实现设备维修、保养等工单线上化，设备扫一扫登记使用等设备助手可以帮助临床科有效管理设备使用环节，通过数字大屏，实现设备资产监控、设备使用监控、大型设备健康度监控、设备服务任务进度实时监控等。系统支持采购数据检索联网查询功能，具备完善的数据安全机制，设备全生命周期管理过程中各种维度的统计报表可供下载，如设备资产明细报表、科室维修量统计报表、设备服务量统计报告、设备开机率统计报告、设备故障率跨品牌对比分析报告等。</w:t>
      </w:r>
    </w:p>
    <w:p w14:paraId="36009F30">
      <w:pPr>
        <w:keepNext w:val="0"/>
        <w:keepLines w:val="0"/>
        <w:widowControl w:val="0"/>
        <w:suppressLineNumbers w:val="0"/>
        <w:spacing w:before="0" w:beforeAutospacing="0" w:after="0" w:afterAutospacing="0" w:line="420" w:lineRule="atLeast"/>
        <w:ind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4.供应商提供的设备管理软件平台承诺具备以下功能，同时供应商需提供成熟的技术架构、开发团队支持定制化开发，确保平台适应采购人管理流程。</w:t>
      </w:r>
    </w:p>
    <w:p w14:paraId="5418166F">
      <w:pPr>
        <w:pStyle w:val="2"/>
        <w:rPr>
          <w:rFonts w:hint="default"/>
          <w:lang w:val="en-US"/>
        </w:rPr>
      </w:pPr>
    </w:p>
    <w:tbl>
      <w:tblPr>
        <w:tblStyle w:val="12"/>
        <w:tblW w:w="93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24"/>
        <w:gridCol w:w="824"/>
        <w:gridCol w:w="1145"/>
        <w:gridCol w:w="6789"/>
      </w:tblGrid>
      <w:tr w14:paraId="014D3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2146">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序号</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2CB1">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99AF">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模块</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8328">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详细功能和技术参数</w:t>
            </w:r>
          </w:p>
        </w:tc>
      </w:tr>
      <w:tr w14:paraId="4400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2A1">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367B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系统总体参数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6D5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架构</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D1B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系统为</w:t>
            </w:r>
            <w:r>
              <w:rPr>
                <w:rFonts w:hint="default" w:ascii="Calibri" w:hAnsi="Calibri" w:eastAsia="宋体" w:cs="Times New Roman"/>
                <w:kern w:val="2"/>
                <w:sz w:val="20"/>
                <w:szCs w:val="20"/>
                <w:lang w:val="en-US" w:eastAsia="zh-CN" w:bidi="ar"/>
              </w:rPr>
              <w:t>B/S</w:t>
            </w:r>
            <w:r>
              <w:rPr>
                <w:rFonts w:hint="eastAsia" w:ascii="Calibri" w:hAnsi="Calibri" w:eastAsia="宋体" w:cs="宋体"/>
                <w:kern w:val="2"/>
                <w:sz w:val="20"/>
                <w:szCs w:val="20"/>
                <w:lang w:val="en-US" w:eastAsia="zh-CN" w:bidi="ar"/>
              </w:rPr>
              <w:t>结构，能运行于</w:t>
            </w:r>
            <w:r>
              <w:rPr>
                <w:rFonts w:hint="default" w:ascii="Calibri" w:hAnsi="Calibri" w:eastAsia="宋体" w:cs="Times New Roman"/>
                <w:kern w:val="2"/>
                <w:sz w:val="20"/>
                <w:szCs w:val="20"/>
                <w:lang w:val="en-US" w:eastAsia="zh-CN" w:bidi="ar"/>
              </w:rPr>
              <w:t>IE11</w:t>
            </w:r>
            <w:r>
              <w:rPr>
                <w:rFonts w:hint="eastAsia" w:ascii="Calibri" w:hAnsi="Calibri" w:eastAsia="宋体" w:cs="宋体"/>
                <w:kern w:val="2"/>
                <w:sz w:val="20"/>
                <w:szCs w:val="20"/>
                <w:lang w:val="en-US" w:eastAsia="zh-CN" w:bidi="ar"/>
              </w:rPr>
              <w:t>版本以上及其它各类浏览器。</w:t>
            </w:r>
          </w:p>
          <w:p w14:paraId="692DEF3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支持分布式部署。</w:t>
            </w:r>
          </w:p>
        </w:tc>
      </w:tr>
      <w:tr w14:paraId="791AD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D4E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D52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D825">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数据库</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0F4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采用</w:t>
            </w:r>
            <w:r>
              <w:rPr>
                <w:rFonts w:hint="default" w:ascii="Calibri" w:hAnsi="Calibri" w:eastAsia="宋体" w:cs="Times New Roman"/>
                <w:kern w:val="2"/>
                <w:sz w:val="20"/>
                <w:szCs w:val="20"/>
                <w:lang w:val="en-US" w:eastAsia="zh-CN" w:bidi="ar"/>
              </w:rPr>
              <w:t>Mysql</w:t>
            </w:r>
            <w:r>
              <w:rPr>
                <w:rFonts w:hint="eastAsia" w:ascii="Calibri" w:hAnsi="Calibri" w:eastAsia="宋体" w:cs="宋体"/>
                <w:kern w:val="2"/>
                <w:sz w:val="20"/>
                <w:szCs w:val="20"/>
                <w:lang w:val="en-US" w:eastAsia="zh-CN" w:bidi="ar"/>
              </w:rPr>
              <w:t>数据库，以满足对安全及性能的要求。</w:t>
            </w:r>
          </w:p>
          <w:p w14:paraId="60E2F76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安装运行于</w:t>
            </w:r>
            <w:r>
              <w:rPr>
                <w:rFonts w:hint="default" w:ascii="Calibri" w:hAnsi="Calibri" w:eastAsia="宋体" w:cs="Times New Roman"/>
                <w:kern w:val="2"/>
                <w:sz w:val="20"/>
                <w:szCs w:val="20"/>
                <w:lang w:val="en-US" w:eastAsia="zh-CN" w:bidi="ar"/>
              </w:rPr>
              <w:t xml:space="preserve">Linux </w:t>
            </w:r>
            <w:r>
              <w:rPr>
                <w:rFonts w:hint="eastAsia" w:ascii="Calibri" w:hAnsi="Calibri" w:eastAsia="宋体" w:cs="宋体"/>
                <w:kern w:val="2"/>
                <w:sz w:val="20"/>
                <w:szCs w:val="20"/>
                <w:lang w:val="en-US" w:eastAsia="zh-CN" w:bidi="ar"/>
              </w:rPr>
              <w:t>等高安全性操作系统，可根据需要，在不同系统间移植。</w:t>
            </w:r>
          </w:p>
          <w:p w14:paraId="31F0FC5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系统提供</w:t>
            </w:r>
            <w:r>
              <w:rPr>
                <w:rFonts w:hint="default" w:ascii="Calibri" w:hAnsi="Calibri" w:eastAsia="宋体" w:cs="Times New Roman"/>
                <w:kern w:val="2"/>
                <w:sz w:val="20"/>
                <w:szCs w:val="20"/>
                <w:lang w:val="en-US" w:eastAsia="zh-CN" w:bidi="ar"/>
              </w:rPr>
              <w:t>7*24</w:t>
            </w:r>
            <w:r>
              <w:rPr>
                <w:rFonts w:hint="eastAsia" w:ascii="Calibri" w:hAnsi="Calibri" w:eastAsia="宋体" w:cs="宋体"/>
                <w:kern w:val="2"/>
                <w:sz w:val="20"/>
                <w:szCs w:val="20"/>
                <w:lang w:val="en-US" w:eastAsia="zh-CN" w:bidi="ar"/>
              </w:rPr>
              <w:t>小时连续稳定服务。</w:t>
            </w:r>
          </w:p>
        </w:tc>
      </w:tr>
      <w:tr w14:paraId="1F794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22A8">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02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97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终端</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EE6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w:t>
            </w:r>
            <w:r>
              <w:rPr>
                <w:rFonts w:hint="default" w:ascii="Calibri" w:hAnsi="Calibri" w:eastAsia="宋体" w:cs="Times New Roman"/>
                <w:kern w:val="2"/>
                <w:sz w:val="20"/>
                <w:szCs w:val="20"/>
                <w:lang w:val="en-US" w:eastAsia="zh-CN" w:bidi="ar"/>
              </w:rPr>
              <w:t>PC</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IOS</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Android</w:t>
            </w:r>
            <w:r>
              <w:rPr>
                <w:rFonts w:hint="eastAsia" w:ascii="Calibri" w:hAnsi="Calibri" w:eastAsia="宋体" w:cs="宋体"/>
                <w:kern w:val="2"/>
                <w:sz w:val="20"/>
                <w:szCs w:val="20"/>
                <w:lang w:val="en-US" w:eastAsia="zh-CN" w:bidi="ar"/>
              </w:rPr>
              <w:t>操作系统的平板、手机移动终端访问系统，支持网页、微信、独立移动端</w:t>
            </w:r>
            <w:r>
              <w:rPr>
                <w:rFonts w:hint="default" w:ascii="Calibri" w:hAnsi="Calibri" w:eastAsia="宋体" w:cs="Times New Roman"/>
                <w:kern w:val="2"/>
                <w:sz w:val="20"/>
                <w:szCs w:val="20"/>
                <w:lang w:val="en-US" w:eastAsia="zh-CN" w:bidi="ar"/>
              </w:rPr>
              <w:t>APP</w:t>
            </w:r>
            <w:r>
              <w:rPr>
                <w:rFonts w:hint="eastAsia" w:ascii="Calibri" w:hAnsi="Calibri" w:eastAsia="宋体" w:cs="宋体"/>
                <w:kern w:val="2"/>
                <w:sz w:val="20"/>
                <w:szCs w:val="20"/>
                <w:lang w:val="en-US" w:eastAsia="zh-CN" w:bidi="ar"/>
              </w:rPr>
              <w:t>应用。</w:t>
            </w:r>
          </w:p>
        </w:tc>
      </w:tr>
      <w:tr w14:paraId="4CB62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2A5D">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218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555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权限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8D7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系统支持多角色、不同角色拥有不同管理权限。</w:t>
            </w:r>
          </w:p>
          <w:p w14:paraId="3E97131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可以为不同的用户设置不同的管理权限和管理范围，实现用户权限管理。也可根据院方需要、灵活修改角色权限。</w:t>
            </w:r>
          </w:p>
        </w:tc>
      </w:tr>
      <w:tr w14:paraId="3A290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198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38E5">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系统可视化</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1033">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数据大屏监控</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E13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建立不同主题的数据分析大屏</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驾驶舱，支持在</w:t>
            </w:r>
            <w:r>
              <w:rPr>
                <w:rFonts w:hint="default" w:ascii="Calibri" w:hAnsi="Calibri" w:eastAsia="宋体" w:cs="Times New Roman"/>
                <w:kern w:val="2"/>
                <w:sz w:val="20"/>
                <w:szCs w:val="20"/>
                <w:lang w:val="en-US" w:eastAsia="zh-CN" w:bidi="ar"/>
              </w:rPr>
              <w:t>65</w:t>
            </w:r>
            <w:r>
              <w:rPr>
                <w:rFonts w:hint="eastAsia" w:ascii="Calibri" w:hAnsi="Calibri" w:eastAsia="宋体" w:cs="宋体"/>
                <w:kern w:val="2"/>
                <w:sz w:val="20"/>
                <w:szCs w:val="20"/>
                <w:lang w:val="en-US" w:eastAsia="zh-CN" w:bidi="ar"/>
              </w:rPr>
              <w:t>英寸及以上电视设备集中展示数据，大屏效果呈现方便内外部工作交流。</w:t>
            </w:r>
          </w:p>
          <w:p w14:paraId="0BF0524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对医院资产进行可视化管理，便于领导和资产管理人员全面了解资产状态、资产分布、资产使用情况、资产发展趋势等内容。</w:t>
            </w:r>
          </w:p>
          <w:p w14:paraId="32134A0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数据分析大屏</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驾驶舱支持数据穿透，可钻取详细信息。</w:t>
            </w:r>
          </w:p>
        </w:tc>
      </w:tr>
      <w:tr w14:paraId="4B5E5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F9A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07BB3">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highlight w:val="none"/>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highlight w:val="none"/>
                <w:lang w:val="en-US" w:eastAsia="zh-CN" w:bidi="ar"/>
              </w:rPr>
              <w:t>采购项目全流程管理系统（含耗材采购管理及合同管理系统）</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EC8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highlight w:val="none"/>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highlight w:val="none"/>
                <w:lang w:val="en-US" w:eastAsia="zh-CN" w:bidi="ar"/>
              </w:rPr>
              <w:t>采购管理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E2F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包含采购申请、采购计划的新增、查看、审批、删除等功能。</w:t>
            </w:r>
          </w:p>
          <w:p w14:paraId="4FFD3E2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支持填写预算类型、预算金额</w:t>
            </w:r>
          </w:p>
          <w:p w14:paraId="3692426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采购计划中应包含申请科室、申请人、预采购物资、论证报告等相关信息，并支持流程审批。</w:t>
            </w:r>
          </w:p>
          <w:p w14:paraId="7C7C05D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包含采购相关文档的新增、上传、删除、查询等功能。</w:t>
            </w:r>
          </w:p>
        </w:tc>
      </w:tr>
      <w:tr w14:paraId="4DA45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2623">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7CD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F703">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highlight w:val="none"/>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highlight w:val="none"/>
                <w:lang w:val="en-US" w:eastAsia="zh-CN" w:bidi="ar"/>
              </w:rPr>
              <w:t>合同管理系统</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0E4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合同管理，包含全院的所有采购合同管理。</w:t>
            </w:r>
          </w:p>
        </w:tc>
      </w:tr>
      <w:tr w14:paraId="49B5E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72F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CB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2E1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到货管理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0A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支持从采购单提取待到货设备清单、新增到货单，自动填入设备基础信息。</w:t>
            </w:r>
          </w:p>
          <w:p w14:paraId="77F935C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支持填写发货供应商、发货数量、到货时间的信息，支持分批到货功能。</w:t>
            </w:r>
          </w:p>
          <w:p w14:paraId="5C4D8EF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支持查看到货单、并可导出到货记录。</w:t>
            </w:r>
          </w:p>
        </w:tc>
      </w:tr>
      <w:tr w14:paraId="7E786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127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4751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4B1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安装管理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793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支持已到货待安装台账管理。</w:t>
            </w:r>
          </w:p>
          <w:p w14:paraId="0C25840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支持待安装列表与采购单号、到货单号关联。</w:t>
            </w:r>
          </w:p>
          <w:p w14:paraId="0A433DA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支持填入上传安装位置、安装说明、及设备的注册信息、说明书、操作规程、维护手册、装箱清单等文件。</w:t>
            </w:r>
          </w:p>
          <w:p w14:paraId="3214357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支持安装完成的设备自动进入验收管理。</w:t>
            </w:r>
          </w:p>
        </w:tc>
      </w:tr>
      <w:tr w14:paraId="74D1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BA37">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5014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AA20">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验收管理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355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支持安装完成设备的验收管理，有待验收清单管理。</w:t>
            </w:r>
          </w:p>
          <w:p w14:paraId="13F0524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支持通用设备信息统一录入，和重点设备的单台信息录入，关联维保合约、设备唯一序列号、</w:t>
            </w:r>
            <w:r>
              <w:rPr>
                <w:rFonts w:hint="default" w:ascii="Calibri" w:hAnsi="Calibri" w:eastAsia="宋体" w:cs="Times New Roman"/>
                <w:kern w:val="2"/>
                <w:sz w:val="20"/>
                <w:szCs w:val="20"/>
                <w:lang w:val="en-US" w:eastAsia="zh-CN" w:bidi="ar"/>
              </w:rPr>
              <w:t>UDI</w:t>
            </w:r>
            <w:r>
              <w:rPr>
                <w:rFonts w:hint="eastAsia" w:ascii="Calibri" w:hAnsi="Calibri" w:eastAsia="宋体" w:cs="宋体"/>
                <w:kern w:val="2"/>
                <w:sz w:val="20"/>
                <w:szCs w:val="20"/>
                <w:lang w:val="en-US" w:eastAsia="zh-CN" w:bidi="ar"/>
              </w:rPr>
              <w:t>、主设备关联、维护工程师、发票信息等。</w:t>
            </w:r>
          </w:p>
          <w:p w14:paraId="634858B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支持上传设备的验收照片。</w:t>
            </w:r>
          </w:p>
        </w:tc>
      </w:tr>
      <w:tr w14:paraId="705B4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59F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E14D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资产管理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BA5A">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资产台账</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266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包含资产台账的批量导入、导出、新增、查询、详情、删除等功能。</w:t>
            </w:r>
          </w:p>
          <w:p w14:paraId="6AB0175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支持打印设备资产卡片二维码标签。</w:t>
            </w:r>
          </w:p>
          <w:p w14:paraId="318B9F8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可为设备建立电子化台账，通过手机对新增设备进行信息化录入。</w:t>
            </w:r>
          </w:p>
          <w:p w14:paraId="6F37338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对新增设备，支持设备图片上传，可识别设备铭牌内容，从标准化信息数据库中关联设备信息。</w:t>
            </w:r>
          </w:p>
        </w:tc>
      </w:tr>
      <w:tr w14:paraId="0A022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651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55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6D0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设备盘点</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26C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支持盘点任务添加、编辑、删除等。</w:t>
            </w:r>
          </w:p>
          <w:p w14:paraId="1D9C4A1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支持按照科室、设备类型、设备用途等分组盘点。</w:t>
            </w:r>
          </w:p>
          <w:p w14:paraId="340A62F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支持生成盘点报告、支持盘盈、盘亏数据处理功能。</w:t>
            </w:r>
          </w:p>
          <w:p w14:paraId="182E936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扫码盘点支持设备信息修正及图片上传。</w:t>
            </w:r>
          </w:p>
        </w:tc>
      </w:tr>
      <w:tr w14:paraId="46B22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609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CC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298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设备转科</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38B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设备转科在线审批，审批通过设备自动转入对应科室；</w:t>
            </w:r>
          </w:p>
        </w:tc>
      </w:tr>
      <w:tr w14:paraId="45FAD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4615">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4D0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F3E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设备折旧</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D1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输入设备折旧参数、资产价值，系统自动每日进行设备折旧处理，帮助医院管理医疗设备固定资产</w:t>
            </w:r>
          </w:p>
        </w:tc>
      </w:tr>
      <w:tr w14:paraId="14633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99C3">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55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7ED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设备报废</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7DA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支持设备报废扫一扫线上申请，线上报废审核。</w:t>
            </w:r>
          </w:p>
          <w:p w14:paraId="678144E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设备报废在线审批，审批通过设备转入报废</w:t>
            </w:r>
          </w:p>
        </w:tc>
      </w:tr>
      <w:tr w14:paraId="33F7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1F65">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93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FCDA">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设备电子档案管理功能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C28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设备档案数据统一标准化，满足但不限于如下字段：设备名称、品牌、型号、</w:t>
            </w:r>
            <w:r>
              <w:rPr>
                <w:rFonts w:hint="default" w:ascii="Calibri" w:hAnsi="Calibri" w:eastAsia="宋体" w:cs="Times New Roman"/>
                <w:kern w:val="2"/>
                <w:sz w:val="20"/>
                <w:szCs w:val="20"/>
                <w:lang w:val="en-US" w:eastAsia="zh-CN" w:bidi="ar"/>
              </w:rPr>
              <w:t>68</w:t>
            </w:r>
            <w:r>
              <w:rPr>
                <w:rFonts w:hint="eastAsia" w:ascii="Calibri" w:hAnsi="Calibri" w:eastAsia="宋体" w:cs="宋体"/>
                <w:kern w:val="2"/>
                <w:sz w:val="20"/>
                <w:szCs w:val="20"/>
                <w:lang w:val="en-US" w:eastAsia="zh-CN" w:bidi="ar"/>
              </w:rPr>
              <w:t>码、国标三类；</w:t>
            </w:r>
          </w:p>
          <w:p w14:paraId="5E0F3B3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支持图片、</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WORD</w:t>
            </w:r>
            <w:r>
              <w:rPr>
                <w:rFonts w:hint="eastAsia" w:ascii="Calibri" w:hAnsi="Calibri" w:eastAsia="宋体" w:cs="宋体"/>
                <w:kern w:val="2"/>
                <w:sz w:val="20"/>
                <w:szCs w:val="20"/>
                <w:lang w:val="en-US" w:eastAsia="zh-CN" w:bidi="ar"/>
              </w:rPr>
              <w:t>等各种附件管理，包括但不限于合同、说明书、操作手册、维护手册、维修报告、设备各级保养报告、计量报告；</w:t>
            </w:r>
          </w:p>
          <w:p w14:paraId="2304FA5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设备维修、各级保养报告、计量报告都能线上化管理。</w:t>
            </w:r>
          </w:p>
          <w:p w14:paraId="65E7E9D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支持设备通用类附件如：说明书、操作手册、维护手册、注册信息等文件共享；</w:t>
            </w:r>
          </w:p>
          <w:p w14:paraId="5C9E925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有设备供应商资质管理功能，可维护供应商资质材料，资质材料过期自动提醒；</w:t>
            </w:r>
          </w:p>
          <w:p w14:paraId="693D353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手机端轻松查阅设备档案信息；</w:t>
            </w:r>
          </w:p>
          <w:p w14:paraId="04FFE745">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（档案管理功能供应商需提供该功能自有的软件著作权证书原件扫描件加以佐证）</w:t>
            </w:r>
          </w:p>
        </w:tc>
      </w:tr>
      <w:tr w14:paraId="1EECE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7AC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AB3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828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设备档案打包下载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AD0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设备基础信息、保养工单、维修工单、计量报告、采购资料、说明书等资料可一键生成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导出，帮助医院进行纸质留档。</w:t>
            </w:r>
          </w:p>
        </w:tc>
      </w:tr>
      <w:tr w14:paraId="6BC3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7678">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F2FD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报修维修管理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F0C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工作台</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67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系统包含设备工作台，可查看维修、保养等任务，维修提醒、延误提醒等信息。</w:t>
            </w:r>
          </w:p>
          <w:p w14:paraId="30CC56D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可查看医院总体任务数据及个人任务数据。</w:t>
            </w:r>
          </w:p>
        </w:tc>
      </w:tr>
      <w:tr w14:paraId="3801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F09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17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2291">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53E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可通过微信的扫一扫，扫描设备二维码，快速报修设备。</w:t>
            </w:r>
          </w:p>
          <w:p w14:paraId="74C151F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报修和维修完成具有微信消息自动通知。</w:t>
            </w:r>
          </w:p>
          <w:p w14:paraId="50BC658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维修进程可通过电脑端、手机端微信小程序、</w:t>
            </w:r>
            <w:r>
              <w:rPr>
                <w:rFonts w:hint="default" w:ascii="Calibri" w:hAnsi="Calibri" w:eastAsia="宋体" w:cs="Times New Roman"/>
                <w:kern w:val="2"/>
                <w:sz w:val="20"/>
                <w:szCs w:val="20"/>
                <w:lang w:val="en-US" w:eastAsia="zh-CN" w:bidi="ar"/>
              </w:rPr>
              <w:t>APP</w:t>
            </w:r>
            <w:r>
              <w:rPr>
                <w:rFonts w:hint="eastAsia" w:ascii="Calibri" w:hAnsi="Calibri" w:eastAsia="宋体" w:cs="宋体"/>
                <w:kern w:val="2"/>
                <w:sz w:val="20"/>
                <w:szCs w:val="20"/>
                <w:lang w:val="en-US" w:eastAsia="zh-CN" w:bidi="ar"/>
              </w:rPr>
              <w:t>在线查询；</w:t>
            </w:r>
          </w:p>
          <w:p w14:paraId="019D396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手机端在线分配、申领、转派维修任务；</w:t>
            </w:r>
          </w:p>
          <w:p w14:paraId="6804701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报修、维修过程可记录详细的文字</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语音</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图片；</w:t>
            </w:r>
          </w:p>
          <w:p w14:paraId="611D715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维修服务验收可在手机端签字和服务评分；</w:t>
            </w:r>
          </w:p>
        </w:tc>
      </w:tr>
      <w:tr w14:paraId="7C808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D088">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FF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ABE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维修工单管理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143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设备每次维修记录支持生成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进行下载打印</w:t>
            </w:r>
          </w:p>
        </w:tc>
      </w:tr>
      <w:tr w14:paraId="696B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9613">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A25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12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评价管理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70A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系统支持对每个维修、巡检、保养等任务进行服务评价，评价分为若干等级，方便院方对每个维修服务进行服务质量跟踪。</w:t>
            </w:r>
          </w:p>
          <w:p w14:paraId="028B484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服务可从多方面进行评价，以便院方对供应商进行综合判断。</w:t>
            </w:r>
          </w:p>
        </w:tc>
      </w:tr>
      <w:tr w14:paraId="171E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F35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D9FFA">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预防性维护管理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F99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计划管理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A7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可为每台设备建立巡检、保养、质控、计量等预防性维护内容，并可指定执行人员；</w:t>
            </w:r>
          </w:p>
          <w:p w14:paraId="44BE1EB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设备预防性维护（巡检、保养、质控、计量等）具有临期提示和延误预警；</w:t>
            </w:r>
          </w:p>
          <w:p w14:paraId="24E5835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可在线查看计划执行情况；</w:t>
            </w:r>
          </w:p>
        </w:tc>
      </w:tr>
      <w:tr w14:paraId="79B44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FBE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1B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AFD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任务监控</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E12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支持各科室各类预防性维护计划监控卡片；</w:t>
            </w:r>
          </w:p>
          <w:p w14:paraId="61A02CE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支持各科室待完成、已完成、延误任务数量；</w:t>
            </w:r>
          </w:p>
          <w:p w14:paraId="46F73F4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支持自定义时间段任务查看；</w:t>
            </w:r>
          </w:p>
        </w:tc>
      </w:tr>
      <w:tr w14:paraId="319C1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2709">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5F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9C7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执行管理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6E6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手机端查看每日任务，在线查看、记录执行内容，支持文字、图片等内容上传记录；</w:t>
            </w:r>
          </w:p>
          <w:p w14:paraId="7D39CE3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保养内容若有现异常，系统能自动提醒设备有异常情况；</w:t>
            </w:r>
          </w:p>
          <w:p w14:paraId="6891767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预防性维护（点检、巡检、保养、质控）能在工作台或者通过微信小程序或手机短信提醒到具体执行人；</w:t>
            </w:r>
          </w:p>
          <w:p w14:paraId="085DC39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保养服务可在线进行评价服务评分和签字验收；</w:t>
            </w:r>
          </w:p>
        </w:tc>
      </w:tr>
      <w:tr w14:paraId="4A222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5EBD">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A3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0763">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模板管理功能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6A8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设备保养</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巡检</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质控的“检查项”可按不同设备自定义配置，手机端自动加载配置模板，需提供至少</w:t>
            </w:r>
            <w:r>
              <w:rPr>
                <w:rFonts w:hint="default" w:ascii="Calibri" w:hAnsi="Calibri" w:eastAsia="宋体" w:cs="Times New Roman"/>
                <w:kern w:val="2"/>
                <w:sz w:val="20"/>
                <w:szCs w:val="20"/>
                <w:lang w:val="en-US" w:eastAsia="zh-CN" w:bidi="ar"/>
              </w:rPr>
              <w:t>40</w:t>
            </w:r>
            <w:r>
              <w:rPr>
                <w:rFonts w:hint="eastAsia" w:ascii="Calibri" w:hAnsi="Calibri" w:eastAsia="宋体" w:cs="宋体"/>
                <w:kern w:val="2"/>
                <w:sz w:val="20"/>
                <w:szCs w:val="20"/>
                <w:lang w:val="en-US" w:eastAsia="zh-CN" w:bidi="ar"/>
              </w:rPr>
              <w:t>套典型标准模板做参考；</w:t>
            </w:r>
          </w:p>
        </w:tc>
      </w:tr>
      <w:tr w14:paraId="01A9C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464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36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E981">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工单管理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313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设备预防性维护（点检、巡检、保养、质控）任务明细可生成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下载打印；</w:t>
            </w:r>
          </w:p>
        </w:tc>
      </w:tr>
      <w:tr w14:paraId="7215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C36D">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B424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效益分析</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单机</w:t>
            </w:r>
            <w:r>
              <w:rPr>
                <w:rFonts w:hint="default" w:ascii="Calibri" w:hAnsi="Calibri" w:eastAsia="宋体" w:cs="Times New Roman"/>
                <w:kern w:val="2"/>
                <w:sz w:val="20"/>
                <w:szCs w:val="20"/>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0822">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效益分析大屏</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76B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设备效益分析数据监控中心大屏</w:t>
            </w:r>
          </w:p>
        </w:tc>
      </w:tr>
      <w:tr w14:paraId="00E8B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4BD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D1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E11A">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成本导入</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7F9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折旧费、人工费、场地费、水电费等成本数据导入</w:t>
            </w:r>
          </w:p>
        </w:tc>
      </w:tr>
      <w:tr w14:paraId="08803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03F2">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FC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9DE5">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收益率分析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324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设备收益率计算</w:t>
            </w:r>
          </w:p>
        </w:tc>
      </w:tr>
      <w:tr w14:paraId="61FAD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8D8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4B8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CC91">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回收期分析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E8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设备投资回收期计算</w:t>
            </w:r>
          </w:p>
        </w:tc>
      </w:tr>
      <w:tr w14:paraId="2B84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8F1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86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7955">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效益分析报告</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4C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设备效益分析报告批量生成</w:t>
            </w:r>
          </w:p>
          <w:p w14:paraId="4C713597">
            <w:pPr>
              <w:keepNext w:val="0"/>
              <w:keepLines w:val="0"/>
              <w:widowControl w:val="0"/>
              <w:suppressLineNumbers w:val="0"/>
              <w:spacing w:before="0" w:beforeAutospacing="0" w:after="0" w:afterAutospacing="0"/>
              <w:ind w:left="28"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（效益分析功能供应商需提供该功能自有的软件著作权证书原件扫描件加以佐证）</w:t>
            </w:r>
          </w:p>
        </w:tc>
      </w:tr>
      <w:tr w14:paraId="40E33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74D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D2D6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日常使用管理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2F5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设备共享中心</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0D3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支持设备调配大屏，全院可借设备、本科室借出设备、本科室待归还设备、借调时长、归还时间等信息；</w:t>
            </w:r>
          </w:p>
          <w:p w14:paraId="6E140AE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支持调配设备分组管理、借调台账管理；</w:t>
            </w:r>
          </w:p>
          <w:p w14:paraId="03B32BD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支持借调申请、借调归还、借调审批、借调记录管理；</w:t>
            </w:r>
          </w:p>
        </w:tc>
      </w:tr>
      <w:tr w14:paraId="6219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5E4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5A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D1D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设备登记使用</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3E6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手机端在线领用、归还设备，手机端便携管控设备登记使用统计情况包含设备次数、时长和人员使用次数、时长等数据；</w:t>
            </w:r>
          </w:p>
          <w:p w14:paraId="44EEAC6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设备登记使用数据可在电脑端导出为</w:t>
            </w:r>
            <w:r>
              <w:rPr>
                <w:rFonts w:hint="default" w:ascii="Calibri" w:hAnsi="Calibri" w:eastAsia="宋体" w:cs="Times New Roman"/>
                <w:kern w:val="2"/>
                <w:sz w:val="20"/>
                <w:szCs w:val="20"/>
                <w:lang w:val="en-US" w:eastAsia="zh-CN" w:bidi="ar"/>
              </w:rPr>
              <w:t>Excel</w:t>
            </w:r>
            <w:r>
              <w:rPr>
                <w:rFonts w:hint="eastAsia" w:ascii="Calibri" w:hAnsi="Calibri" w:eastAsia="宋体" w:cs="宋体"/>
                <w:kern w:val="2"/>
                <w:sz w:val="20"/>
                <w:szCs w:val="20"/>
                <w:lang w:val="en-US" w:eastAsia="zh-CN" w:bidi="ar"/>
              </w:rPr>
              <w:t>；</w:t>
            </w:r>
          </w:p>
        </w:tc>
      </w:tr>
      <w:tr w14:paraId="0F88E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FEB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BA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57F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设备外调</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5F1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支持设备外调清单，外调详情、外调信息、归还信息等管理。</w:t>
            </w:r>
          </w:p>
        </w:tc>
      </w:tr>
      <w:tr w14:paraId="0A503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E457">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E9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9E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设备培训管理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3DD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可建立在线设备培训计划，关联视频进行在线培训；</w:t>
            </w:r>
          </w:p>
          <w:p w14:paraId="72EAA31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可在线建立培训计划，自动生成签到码，培训完成后自动生成签到表，用户可把培训资料上传管理；</w:t>
            </w:r>
          </w:p>
        </w:tc>
      </w:tr>
      <w:tr w14:paraId="37920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3B8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6BA2C">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医院等级评复审管理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3EF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评复审上传记录管理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538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医院管理人员可在线查看医院等级评复审资料准备上传情况，把握等级评复审资料准备工作执行情况；</w:t>
            </w:r>
          </w:p>
        </w:tc>
      </w:tr>
      <w:tr w14:paraId="707E4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98B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11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465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评复审法规资料管理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611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系统根据各省市评审要求，维护管理各地区医院等级评复审相关法规要求，医院可根据要求上传对应医院等级评复审资料；</w:t>
            </w:r>
          </w:p>
          <w:p w14:paraId="1B926097">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（等级评复审辅助功能供应商需提供该功能自有的软件著作权证书原件扫描件加以佐证）</w:t>
            </w:r>
          </w:p>
        </w:tc>
      </w:tr>
      <w:tr w14:paraId="32E3E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6EB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C6C45">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系统综合管理</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基础信息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89D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不良事件上报</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96C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可以实现审核及上报全院不良事件；</w:t>
            </w:r>
          </w:p>
          <w:p w14:paraId="096F2D0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可实现一键快速生成全院不良事件标准化数据，并通过线上审核后直接将不良事件数据上报国家医疗器械不良事件监测信息系统；</w:t>
            </w:r>
          </w:p>
          <w:p w14:paraId="6B90F65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可自动生成全院不良事件报告单</w:t>
            </w:r>
            <w:r>
              <w:rPr>
                <w:rFonts w:hint="default" w:ascii="Calibri" w:hAnsi="Calibri" w:eastAsia="宋体" w:cs="Times New Roman"/>
                <w:kern w:val="2"/>
                <w:sz w:val="20"/>
                <w:szCs w:val="20"/>
                <w:highlight w:val="none"/>
                <w:lang w:val="en-US" w:eastAsia="zh-CN" w:bidi="ar"/>
              </w:rPr>
              <w:t>pdf</w:t>
            </w:r>
            <w:r>
              <w:rPr>
                <w:rFonts w:hint="eastAsia" w:ascii="Calibri" w:hAnsi="Calibri" w:eastAsia="宋体" w:cs="宋体"/>
                <w:kern w:val="2"/>
                <w:sz w:val="20"/>
                <w:szCs w:val="20"/>
                <w:highlight w:val="none"/>
                <w:lang w:val="en-US" w:eastAsia="zh-CN" w:bidi="ar"/>
              </w:rPr>
              <w:t>文件；</w:t>
            </w:r>
          </w:p>
          <w:p w14:paraId="3350A26C">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（不良事件上报功能供应商需提供该功能自有的软件著作权证书原件扫描件加以佐证）</w:t>
            </w:r>
          </w:p>
        </w:tc>
      </w:tr>
      <w:tr w14:paraId="7CFD1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BED9">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87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598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科室管理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12A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系统可灵活配置科室、房间</w:t>
            </w:r>
          </w:p>
        </w:tc>
      </w:tr>
      <w:tr w14:paraId="6AC69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1499">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C8C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F48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供应商参数管理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AF6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医院可对供应商、经销商、维保商参数进行管理，可维护供应商名称、联系人、联系方式、资质资料等管理，且供应商资质资料过期后自动提醒相关人员：</w:t>
            </w:r>
          </w:p>
          <w:p w14:paraId="5DB0C4B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供应商参数维护完成后，设备档案信息维护可选择对应供应商</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系统自动将对应供应商信息维护到设备档案信息；</w:t>
            </w:r>
          </w:p>
        </w:tc>
      </w:tr>
      <w:tr w14:paraId="609A7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66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61C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BEBC">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数据统计报表</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72C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系统自动统计设备开机率、报修率、返修率、故障原因分析等全生命周期管理的数据分析报表；</w:t>
            </w:r>
          </w:p>
          <w:p w14:paraId="4B7CC7A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统计报表可以图文，也可以生成</w:t>
            </w:r>
            <w:r>
              <w:rPr>
                <w:rFonts w:hint="default" w:ascii="Calibri" w:hAnsi="Calibri" w:eastAsia="宋体" w:cs="Times New Roman"/>
                <w:kern w:val="2"/>
                <w:sz w:val="20"/>
                <w:szCs w:val="20"/>
                <w:lang w:val="en-US" w:eastAsia="zh-CN" w:bidi="ar"/>
              </w:rPr>
              <w:t>excel</w:t>
            </w:r>
            <w:r>
              <w:rPr>
                <w:rFonts w:hint="eastAsia" w:ascii="Calibri" w:hAnsi="Calibri" w:eastAsia="宋体" w:cs="宋体"/>
                <w:kern w:val="2"/>
                <w:sz w:val="20"/>
                <w:szCs w:val="20"/>
                <w:lang w:val="en-US" w:eastAsia="zh-CN" w:bidi="ar"/>
              </w:rPr>
              <w:t>明细；</w:t>
            </w:r>
          </w:p>
        </w:tc>
      </w:tr>
      <w:tr w14:paraId="59390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964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9C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6A39">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知识库管理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C3A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系统上提供设备维修案例，含故障描述及应对维修指引至少</w:t>
            </w:r>
            <w:r>
              <w:rPr>
                <w:rFonts w:hint="default" w:ascii="Calibri" w:hAnsi="Calibri" w:eastAsia="宋体" w:cs="Times New Roman"/>
                <w:kern w:val="2"/>
                <w:sz w:val="20"/>
                <w:szCs w:val="20"/>
                <w:lang w:val="en-US" w:eastAsia="zh-CN" w:bidi="ar"/>
              </w:rPr>
              <w:t>8000</w:t>
            </w:r>
            <w:r>
              <w:rPr>
                <w:rFonts w:hint="eastAsia" w:ascii="Calibri" w:hAnsi="Calibri" w:eastAsia="宋体" w:cs="宋体"/>
                <w:kern w:val="2"/>
                <w:sz w:val="20"/>
                <w:szCs w:val="20"/>
                <w:lang w:val="en-US" w:eastAsia="zh-CN" w:bidi="ar"/>
              </w:rPr>
              <w:t>条以上；</w:t>
            </w:r>
          </w:p>
        </w:tc>
      </w:tr>
      <w:tr w14:paraId="7E933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C942">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序号</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DC73">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40E">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模块</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F65D">
            <w:pPr>
              <w:keepNext w:val="0"/>
              <w:keepLines w:val="0"/>
              <w:widowControl w:val="0"/>
              <w:suppressLineNumbers w:val="0"/>
              <w:spacing w:before="0" w:beforeAutospacing="0" w:after="0" w:afterAutospacing="0"/>
              <w:ind w:left="0" w:right="0"/>
              <w:jc w:val="center"/>
              <w:rPr>
                <w:rFonts w:hint="default" w:ascii="Calibri" w:hAnsi="Calibri" w:cs="Times New Roman"/>
                <w:b/>
                <w:bCs/>
                <w:sz w:val="20"/>
                <w:szCs w:val="20"/>
                <w:lang w:val="en-US"/>
              </w:rPr>
            </w:pPr>
            <w:r>
              <w:rPr>
                <w:rFonts w:hint="eastAsia" w:ascii="Calibri" w:hAnsi="Calibri" w:eastAsia="宋体" w:cs="宋体"/>
                <w:b/>
                <w:bCs/>
                <w:kern w:val="2"/>
                <w:sz w:val="20"/>
                <w:szCs w:val="20"/>
                <w:lang w:val="en-US" w:eastAsia="zh-CN" w:bidi="ar"/>
              </w:rPr>
              <w:t>详细功能和技术参数</w:t>
            </w:r>
          </w:p>
        </w:tc>
      </w:tr>
      <w:tr w14:paraId="3CA9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69A7">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438D9">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系统总体参数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440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架构</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10D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系统为</w:t>
            </w:r>
            <w:r>
              <w:rPr>
                <w:rFonts w:hint="default" w:ascii="Calibri" w:hAnsi="Calibri" w:eastAsia="宋体" w:cs="Times New Roman"/>
                <w:kern w:val="2"/>
                <w:sz w:val="20"/>
                <w:szCs w:val="20"/>
                <w:lang w:val="en-US" w:eastAsia="zh-CN" w:bidi="ar"/>
              </w:rPr>
              <w:t>B/S</w:t>
            </w:r>
            <w:r>
              <w:rPr>
                <w:rFonts w:hint="eastAsia" w:ascii="Calibri" w:hAnsi="Calibri" w:eastAsia="宋体" w:cs="宋体"/>
                <w:kern w:val="2"/>
                <w:sz w:val="20"/>
                <w:szCs w:val="20"/>
                <w:lang w:val="en-US" w:eastAsia="zh-CN" w:bidi="ar"/>
              </w:rPr>
              <w:t>结构，能运行于</w:t>
            </w:r>
            <w:r>
              <w:rPr>
                <w:rFonts w:hint="default" w:ascii="Calibri" w:hAnsi="Calibri" w:eastAsia="宋体" w:cs="Times New Roman"/>
                <w:kern w:val="2"/>
                <w:sz w:val="20"/>
                <w:szCs w:val="20"/>
                <w:lang w:val="en-US" w:eastAsia="zh-CN" w:bidi="ar"/>
              </w:rPr>
              <w:t>IE11</w:t>
            </w:r>
            <w:r>
              <w:rPr>
                <w:rFonts w:hint="eastAsia" w:ascii="Calibri" w:hAnsi="Calibri" w:eastAsia="宋体" w:cs="宋体"/>
                <w:kern w:val="2"/>
                <w:sz w:val="20"/>
                <w:szCs w:val="20"/>
                <w:lang w:val="en-US" w:eastAsia="zh-CN" w:bidi="ar"/>
              </w:rPr>
              <w:t>版本以上及其它各类浏览器。</w:t>
            </w:r>
          </w:p>
          <w:p w14:paraId="78738BA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支持分布式部署。</w:t>
            </w:r>
          </w:p>
        </w:tc>
      </w:tr>
      <w:tr w14:paraId="5E028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C5FD">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06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C81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数据库</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E4B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采用</w:t>
            </w:r>
            <w:r>
              <w:rPr>
                <w:rFonts w:hint="default" w:ascii="Calibri" w:hAnsi="Calibri" w:eastAsia="宋体" w:cs="Times New Roman"/>
                <w:kern w:val="2"/>
                <w:sz w:val="20"/>
                <w:szCs w:val="20"/>
                <w:lang w:val="en-US" w:eastAsia="zh-CN" w:bidi="ar"/>
              </w:rPr>
              <w:t>Mysql</w:t>
            </w:r>
            <w:r>
              <w:rPr>
                <w:rFonts w:hint="eastAsia" w:ascii="Calibri" w:hAnsi="Calibri" w:eastAsia="宋体" w:cs="宋体"/>
                <w:kern w:val="2"/>
                <w:sz w:val="20"/>
                <w:szCs w:val="20"/>
                <w:lang w:val="en-US" w:eastAsia="zh-CN" w:bidi="ar"/>
              </w:rPr>
              <w:t>数据库，以满足对安全及性能的要求。</w:t>
            </w:r>
          </w:p>
          <w:p w14:paraId="5F1C37B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安装运行于</w:t>
            </w:r>
            <w:r>
              <w:rPr>
                <w:rFonts w:hint="default" w:ascii="Calibri" w:hAnsi="Calibri" w:eastAsia="宋体" w:cs="Times New Roman"/>
                <w:kern w:val="2"/>
                <w:sz w:val="20"/>
                <w:szCs w:val="20"/>
                <w:lang w:val="en-US" w:eastAsia="zh-CN" w:bidi="ar"/>
              </w:rPr>
              <w:t xml:space="preserve">Linux </w:t>
            </w:r>
            <w:r>
              <w:rPr>
                <w:rFonts w:hint="eastAsia" w:ascii="Calibri" w:hAnsi="Calibri" w:eastAsia="宋体" w:cs="宋体"/>
                <w:kern w:val="2"/>
                <w:sz w:val="20"/>
                <w:szCs w:val="20"/>
                <w:lang w:val="en-US" w:eastAsia="zh-CN" w:bidi="ar"/>
              </w:rPr>
              <w:t>等高安全性操作系统，可根据需要，在不同系统间移植。</w:t>
            </w:r>
          </w:p>
          <w:p w14:paraId="0EF8D90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系统提供</w:t>
            </w:r>
            <w:r>
              <w:rPr>
                <w:rFonts w:hint="default" w:ascii="Calibri" w:hAnsi="Calibri" w:eastAsia="宋体" w:cs="Times New Roman"/>
                <w:kern w:val="2"/>
                <w:sz w:val="20"/>
                <w:szCs w:val="20"/>
                <w:lang w:val="en-US" w:eastAsia="zh-CN" w:bidi="ar"/>
              </w:rPr>
              <w:t>7*24</w:t>
            </w:r>
            <w:r>
              <w:rPr>
                <w:rFonts w:hint="eastAsia" w:ascii="Calibri" w:hAnsi="Calibri" w:eastAsia="宋体" w:cs="宋体"/>
                <w:kern w:val="2"/>
                <w:sz w:val="20"/>
                <w:szCs w:val="20"/>
                <w:lang w:val="en-US" w:eastAsia="zh-CN" w:bidi="ar"/>
              </w:rPr>
              <w:t>小时连续稳定服务。</w:t>
            </w:r>
          </w:p>
        </w:tc>
      </w:tr>
      <w:tr w14:paraId="64F9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58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EB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A40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终端</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F85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w:t>
            </w:r>
            <w:r>
              <w:rPr>
                <w:rFonts w:hint="default" w:ascii="Calibri" w:hAnsi="Calibri" w:eastAsia="宋体" w:cs="Times New Roman"/>
                <w:kern w:val="2"/>
                <w:sz w:val="20"/>
                <w:szCs w:val="20"/>
                <w:lang w:val="en-US" w:eastAsia="zh-CN" w:bidi="ar"/>
              </w:rPr>
              <w:t>PC</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IOS</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Android</w:t>
            </w:r>
            <w:r>
              <w:rPr>
                <w:rFonts w:hint="eastAsia" w:ascii="Calibri" w:hAnsi="Calibri" w:eastAsia="宋体" w:cs="宋体"/>
                <w:kern w:val="2"/>
                <w:sz w:val="20"/>
                <w:szCs w:val="20"/>
                <w:lang w:val="en-US" w:eastAsia="zh-CN" w:bidi="ar"/>
              </w:rPr>
              <w:t>操作系统的平板、手机移动终端访问系统，支持网页、微信、独立移动端</w:t>
            </w:r>
            <w:r>
              <w:rPr>
                <w:rFonts w:hint="default" w:ascii="Calibri" w:hAnsi="Calibri" w:eastAsia="宋体" w:cs="Times New Roman"/>
                <w:kern w:val="2"/>
                <w:sz w:val="20"/>
                <w:szCs w:val="20"/>
                <w:lang w:val="en-US" w:eastAsia="zh-CN" w:bidi="ar"/>
              </w:rPr>
              <w:t>APP</w:t>
            </w:r>
            <w:r>
              <w:rPr>
                <w:rFonts w:hint="eastAsia" w:ascii="Calibri" w:hAnsi="Calibri" w:eastAsia="宋体" w:cs="宋体"/>
                <w:kern w:val="2"/>
                <w:sz w:val="20"/>
                <w:szCs w:val="20"/>
                <w:lang w:val="en-US" w:eastAsia="zh-CN" w:bidi="ar"/>
              </w:rPr>
              <w:t>应用。</w:t>
            </w:r>
          </w:p>
        </w:tc>
      </w:tr>
      <w:tr w14:paraId="0E6E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BCB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B72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A570">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权限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9F3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系统支持多角色、不同角色拥有不同管理权限。</w:t>
            </w:r>
          </w:p>
          <w:p w14:paraId="1A3CC89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可以为不同的用户设置不同的管理权限和管理范围，实现用户权限管理。也可根据院方需要、灵活修改角色权限。</w:t>
            </w:r>
          </w:p>
        </w:tc>
      </w:tr>
      <w:tr w14:paraId="15EE6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27E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2AF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系统可视化</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1161">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数据大屏监控</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15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建立不同主题的数据分析大屏</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驾驶舱，支持在</w:t>
            </w:r>
            <w:r>
              <w:rPr>
                <w:rFonts w:hint="default" w:ascii="Calibri" w:hAnsi="Calibri" w:eastAsia="宋体" w:cs="Times New Roman"/>
                <w:kern w:val="2"/>
                <w:sz w:val="20"/>
                <w:szCs w:val="20"/>
                <w:lang w:val="en-US" w:eastAsia="zh-CN" w:bidi="ar"/>
              </w:rPr>
              <w:t>65</w:t>
            </w:r>
            <w:r>
              <w:rPr>
                <w:rFonts w:hint="eastAsia" w:ascii="Calibri" w:hAnsi="Calibri" w:eastAsia="宋体" w:cs="宋体"/>
                <w:kern w:val="2"/>
                <w:sz w:val="20"/>
                <w:szCs w:val="20"/>
                <w:lang w:val="en-US" w:eastAsia="zh-CN" w:bidi="ar"/>
              </w:rPr>
              <w:t>英寸及以上电视设备集中展示数据，大屏效果呈现方便内外部工作交流。</w:t>
            </w:r>
          </w:p>
          <w:p w14:paraId="1F46782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对医院资产进行可视化管理，便于领导和资产管理人员全面了解资产状态、资产分布、资产使用情况、资产发展趋势等内容。</w:t>
            </w:r>
          </w:p>
          <w:p w14:paraId="689BFE7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数据分析大屏</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驾驶舱支持数据穿透，可钻取详细信息。</w:t>
            </w:r>
          </w:p>
        </w:tc>
      </w:tr>
      <w:tr w14:paraId="35413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0283">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83B1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highlight w:val="none"/>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highlight w:val="none"/>
                <w:lang w:val="en-US" w:eastAsia="zh-CN" w:bidi="ar"/>
              </w:rPr>
              <w:t>采购项目全流程管理系统（含耗材采购管理）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9E35">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highlight w:val="none"/>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highlight w:val="none"/>
                <w:lang w:val="en-US" w:eastAsia="zh-CN" w:bidi="ar"/>
              </w:rPr>
              <w:t>采购管理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5D7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包含采购申请、采购计划的新增、查看、审批、删除等功能。</w:t>
            </w:r>
          </w:p>
          <w:p w14:paraId="5B47FC1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支持填写预算类型、预算金额</w:t>
            </w:r>
          </w:p>
          <w:p w14:paraId="2BC587D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采购计划中应包含申请科室、申请人、预采购物资、论证报告等相关信息，并支持流程审批。</w:t>
            </w:r>
          </w:p>
          <w:p w14:paraId="4697459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包含采购相关文档的新增、上传、删除、查询等功能。</w:t>
            </w:r>
          </w:p>
        </w:tc>
      </w:tr>
      <w:tr w14:paraId="5BBB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EDE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68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8F7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到货管理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8D1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支持从采购单提取待到货设备清单、新增到货单，自动填入设备基础信息。</w:t>
            </w:r>
          </w:p>
          <w:p w14:paraId="4E713C8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支持填写发货供应商、发货数量、到货时间的信息，支持分批到货功能。</w:t>
            </w:r>
          </w:p>
          <w:p w14:paraId="0B56FF1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支持查看到货单、并可导出到货记录。</w:t>
            </w:r>
          </w:p>
        </w:tc>
      </w:tr>
      <w:tr w14:paraId="7EA61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A808">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85B7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41CA">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安装管理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82B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支持已到货待安装台账管理。</w:t>
            </w:r>
          </w:p>
          <w:p w14:paraId="73BA959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支持待安装列表与采购单号、到货单号关联。</w:t>
            </w:r>
          </w:p>
          <w:p w14:paraId="531E738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支持填入上传安装位置、安装说明及设备的注册信息、说明书、操作规程、维护手册、装箱清单等文件。</w:t>
            </w:r>
          </w:p>
          <w:p w14:paraId="14B7BDD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支持安装完成的设备自动进入验收管理。</w:t>
            </w:r>
          </w:p>
        </w:tc>
      </w:tr>
      <w:tr w14:paraId="40C1D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A2F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519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5355">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验收管理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7B9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支持安装完成设备的验收管理，有待验收清单管理。</w:t>
            </w:r>
          </w:p>
          <w:p w14:paraId="32721E3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支持通用设备信息统一录入，和重点设备的单台信息录入，关联维保合约、设备唯一序列号、</w:t>
            </w:r>
            <w:r>
              <w:rPr>
                <w:rFonts w:hint="default" w:ascii="Calibri" w:hAnsi="Calibri" w:eastAsia="宋体" w:cs="Times New Roman"/>
                <w:kern w:val="2"/>
                <w:sz w:val="20"/>
                <w:szCs w:val="20"/>
                <w:lang w:val="en-US" w:eastAsia="zh-CN" w:bidi="ar"/>
              </w:rPr>
              <w:t>UDI</w:t>
            </w:r>
            <w:r>
              <w:rPr>
                <w:rFonts w:hint="eastAsia" w:ascii="Calibri" w:hAnsi="Calibri" w:eastAsia="宋体" w:cs="宋体"/>
                <w:kern w:val="2"/>
                <w:sz w:val="20"/>
                <w:szCs w:val="20"/>
                <w:lang w:val="en-US" w:eastAsia="zh-CN" w:bidi="ar"/>
              </w:rPr>
              <w:t>、主设备关联、维护工程师、发票信息等。</w:t>
            </w:r>
          </w:p>
          <w:p w14:paraId="4D057D8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支持上传设备的验收照片。</w:t>
            </w:r>
          </w:p>
        </w:tc>
      </w:tr>
      <w:tr w14:paraId="195B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23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FF90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资产管理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360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资产台账</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B1E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包含资产台账的批量导入、导出、新增、查询、详情、删除等功能。</w:t>
            </w:r>
          </w:p>
          <w:p w14:paraId="32376B1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支持打印设备资产卡片二维码标签。</w:t>
            </w:r>
          </w:p>
          <w:p w14:paraId="1402241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可为设备建立电子化台账，通过手机对新增设备进行信息化录入。</w:t>
            </w:r>
          </w:p>
          <w:p w14:paraId="4332996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对新增设备，支持设备图片上传，可识别设备铭牌内容，从标准化信息数据库中关联设备信息。</w:t>
            </w:r>
          </w:p>
        </w:tc>
      </w:tr>
      <w:tr w14:paraId="12AC2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4C8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A8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8B7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设备盘点</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1AD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支持盘点任务添加、编辑、删除等。</w:t>
            </w:r>
          </w:p>
          <w:p w14:paraId="3BF8639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支持按照科室、设备类型、设备用途等分组盘点。</w:t>
            </w:r>
          </w:p>
          <w:p w14:paraId="6A1B25C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支持生成盘点报告、支持盘盈、盘亏数据处理功能。</w:t>
            </w:r>
          </w:p>
          <w:p w14:paraId="45061C2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扫码盘点支持设备信息修正及图片上传。</w:t>
            </w:r>
          </w:p>
        </w:tc>
      </w:tr>
      <w:tr w14:paraId="24BD5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0C8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98C3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DF50">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设备转科</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804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设备转科在线审批，审批通过设备自动转入对应科室；</w:t>
            </w:r>
          </w:p>
        </w:tc>
      </w:tr>
      <w:tr w14:paraId="020E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4B9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11AA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8A1C">
            <w:pPr>
              <w:keepNext w:val="0"/>
              <w:keepLines w:val="0"/>
              <w:widowControl w:val="0"/>
              <w:suppressLineNumbers w:val="0"/>
              <w:spacing w:before="0" w:beforeAutospacing="0" w:after="0" w:afterAutospacing="0"/>
              <w:ind w:left="0" w:right="0"/>
              <w:jc w:val="center"/>
              <w:rPr>
                <w:rFonts w:hint="default" w:ascii="Calibri" w:hAnsi="Calibri" w:eastAsia="宋体" w:cs="宋体"/>
                <w:kern w:val="2"/>
                <w:sz w:val="20"/>
                <w:szCs w:val="20"/>
                <w:lang w:val="en-US" w:eastAsia="zh-CN" w:bidi="ar"/>
              </w:rPr>
            </w:pPr>
            <w:r>
              <w:rPr>
                <w:rFonts w:hint="eastAsia" w:ascii="Calibri" w:hAnsi="Calibri" w:eastAsia="宋体" w:cs="宋体"/>
                <w:kern w:val="2"/>
                <w:sz w:val="20"/>
                <w:szCs w:val="20"/>
                <w:lang w:val="en-US" w:eastAsia="zh-CN" w:bidi="ar"/>
              </w:rPr>
              <w:t>设备共享</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8ED0">
            <w:pPr>
              <w:keepNext w:val="0"/>
              <w:keepLines w:val="0"/>
              <w:widowControl w:val="0"/>
              <w:numPr>
                <w:ilvl w:val="0"/>
                <w:numId w:val="3"/>
              </w:numPr>
              <w:suppressLineNumbers w:val="0"/>
              <w:snapToGrid w:val="0"/>
              <w:spacing w:before="0" w:beforeAutospacing="0" w:after="0" w:afterAutospacing="0"/>
              <w:ind w:left="282" w:right="0" w:hanging="282"/>
              <w:jc w:val="both"/>
              <w:rPr>
                <w:rFonts w:hint="eastAsia" w:ascii="Calibri" w:hAnsi="Calibri" w:eastAsia="宋体" w:cs="宋体"/>
                <w:kern w:val="2"/>
                <w:sz w:val="20"/>
                <w:szCs w:val="20"/>
                <w:lang w:val="en-US" w:eastAsia="zh-CN" w:bidi="ar"/>
              </w:rPr>
            </w:pPr>
            <w:r>
              <w:rPr>
                <w:rFonts w:hint="eastAsia" w:ascii="Calibri" w:hAnsi="Calibri" w:eastAsia="宋体" w:cs="宋体"/>
                <w:kern w:val="2"/>
                <w:sz w:val="20"/>
                <w:szCs w:val="20"/>
                <w:lang w:val="en-US" w:eastAsia="zh-CN" w:bidi="ar"/>
              </w:rPr>
              <w:t>设备共享在线审批，审批通过设备自动转入对应科室；</w:t>
            </w:r>
          </w:p>
        </w:tc>
      </w:tr>
      <w:tr w14:paraId="46F32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BF1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7F4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3227">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设备折旧</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7B2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输入设备折旧参数、资产价值，系统自动每日进行设备折旧处理，帮助医院管理医疗设备固定资产</w:t>
            </w:r>
          </w:p>
        </w:tc>
      </w:tr>
      <w:tr w14:paraId="4C182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8EF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D63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96D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设备报废</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C4C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支持设备报废扫一扫线上申请，线上报废审核。</w:t>
            </w:r>
          </w:p>
          <w:p w14:paraId="2A3D29B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设备报废在线审批，审批通过设备转入报废</w:t>
            </w:r>
          </w:p>
        </w:tc>
      </w:tr>
      <w:tr w14:paraId="68C8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CC08">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23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770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设备电子档案管理功能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318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设备档案数据统一标准化，满足但不限于如下字段：设备名称、品牌、型号、</w:t>
            </w:r>
            <w:r>
              <w:rPr>
                <w:rFonts w:hint="default" w:ascii="Calibri" w:hAnsi="Calibri" w:eastAsia="宋体" w:cs="Times New Roman"/>
                <w:kern w:val="2"/>
                <w:sz w:val="20"/>
                <w:szCs w:val="20"/>
                <w:lang w:val="en-US" w:eastAsia="zh-CN" w:bidi="ar"/>
              </w:rPr>
              <w:t>68</w:t>
            </w:r>
            <w:r>
              <w:rPr>
                <w:rFonts w:hint="eastAsia" w:ascii="Calibri" w:hAnsi="Calibri" w:eastAsia="宋体" w:cs="宋体"/>
                <w:kern w:val="2"/>
                <w:sz w:val="20"/>
                <w:szCs w:val="20"/>
                <w:lang w:val="en-US" w:eastAsia="zh-CN" w:bidi="ar"/>
              </w:rPr>
              <w:t>码、国标三类；</w:t>
            </w:r>
          </w:p>
          <w:p w14:paraId="26AFF7CB">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支持图片、</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w:t>
            </w:r>
            <w:r>
              <w:rPr>
                <w:rFonts w:hint="default" w:ascii="Calibri" w:hAnsi="Calibri" w:eastAsia="宋体" w:cs="Times New Roman"/>
                <w:kern w:val="2"/>
                <w:sz w:val="20"/>
                <w:szCs w:val="20"/>
                <w:lang w:val="en-US" w:eastAsia="zh-CN" w:bidi="ar"/>
              </w:rPr>
              <w:t>WORD</w:t>
            </w:r>
            <w:r>
              <w:rPr>
                <w:rFonts w:hint="eastAsia" w:ascii="Calibri" w:hAnsi="Calibri" w:eastAsia="宋体" w:cs="宋体"/>
                <w:kern w:val="2"/>
                <w:sz w:val="20"/>
                <w:szCs w:val="20"/>
                <w:lang w:val="en-US" w:eastAsia="zh-CN" w:bidi="ar"/>
              </w:rPr>
              <w:t>等各种附件管理，包括但不限于合同、说明书、操作手册、维护手册、维修报告、设备各级保养报告、计量报告；</w:t>
            </w:r>
          </w:p>
          <w:p w14:paraId="211164F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设备维修、各级保养报告、计量报告都能线上化管理。</w:t>
            </w:r>
          </w:p>
          <w:p w14:paraId="243AD90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支持设备通用类附件如：说明书、操作手册、维护手册、注册信息等文件共享；</w:t>
            </w:r>
          </w:p>
          <w:p w14:paraId="71C09F4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有设备供应商资质管理功能，可维护供应商资质材料，资质材料过期自动提醒；</w:t>
            </w:r>
          </w:p>
          <w:p w14:paraId="2029837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手机端轻松查阅设备档案信息；</w:t>
            </w:r>
          </w:p>
          <w:p w14:paraId="577DFDD5">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（供应商需提供该功能自有的软件著作权证书原件扫描件加以佐证）</w:t>
            </w:r>
          </w:p>
        </w:tc>
      </w:tr>
      <w:tr w14:paraId="285C8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21D2">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998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9389">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设备档案打包下载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4D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设备基础信息、保养工单、维修工单、计量报告、采购资料、说明书等资料可一键生成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导出，帮助医院进行纸质留档。</w:t>
            </w:r>
          </w:p>
        </w:tc>
      </w:tr>
      <w:tr w14:paraId="6ECB7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B109">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8B521">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报修维修管理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453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工作台</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E85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系统包含设备工作台，可查看维修、保养等任务，维修提醒、延误提醒等信息。</w:t>
            </w:r>
          </w:p>
          <w:p w14:paraId="0F85A81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可查看医院总体任务数据及个人任务数据。</w:t>
            </w:r>
          </w:p>
        </w:tc>
      </w:tr>
      <w:tr w14:paraId="3EC3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09D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23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371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8D6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可通过微信的扫一扫，扫描设备二维码，快速报修设备。</w:t>
            </w:r>
          </w:p>
          <w:p w14:paraId="285F16E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报修和维修完成具有微信消息自动通知。</w:t>
            </w:r>
          </w:p>
          <w:p w14:paraId="7AA032A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维修进程可通过电脑端、手机端微信小程序、</w:t>
            </w:r>
            <w:r>
              <w:rPr>
                <w:rFonts w:hint="default" w:ascii="Calibri" w:hAnsi="Calibri" w:eastAsia="宋体" w:cs="Times New Roman"/>
                <w:kern w:val="2"/>
                <w:sz w:val="20"/>
                <w:szCs w:val="20"/>
                <w:lang w:val="en-US" w:eastAsia="zh-CN" w:bidi="ar"/>
              </w:rPr>
              <w:t>APP</w:t>
            </w:r>
            <w:r>
              <w:rPr>
                <w:rFonts w:hint="eastAsia" w:ascii="Calibri" w:hAnsi="Calibri" w:eastAsia="宋体" w:cs="宋体"/>
                <w:kern w:val="2"/>
                <w:sz w:val="20"/>
                <w:szCs w:val="20"/>
                <w:lang w:val="en-US" w:eastAsia="zh-CN" w:bidi="ar"/>
              </w:rPr>
              <w:t>在线查询；</w:t>
            </w:r>
          </w:p>
          <w:p w14:paraId="7B85DFC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手机端在线分配、申领、转派维修任务；</w:t>
            </w:r>
          </w:p>
          <w:p w14:paraId="5C5F20D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报修、维修过程可记录详细的文字</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语音</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图片；</w:t>
            </w:r>
          </w:p>
          <w:p w14:paraId="450D998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维修服务验收可在手机端签字和服务评分；</w:t>
            </w:r>
          </w:p>
        </w:tc>
      </w:tr>
      <w:tr w14:paraId="01810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ECA0">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BF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3AA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维修工单管理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0B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设备每次维修记录支持生成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进行下载打印</w:t>
            </w:r>
          </w:p>
        </w:tc>
      </w:tr>
      <w:tr w14:paraId="68EC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6386">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C1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88B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评价管理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5CE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系统支持对每个维修、巡检、保养等任务进行服务评价，评价分为若干等级，方便院方对每个维修服务进行服务质量跟踪。</w:t>
            </w:r>
          </w:p>
          <w:p w14:paraId="2FB07D5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服务可从多方面进行评价，以便院方对供应商进行综合判断。</w:t>
            </w:r>
          </w:p>
        </w:tc>
      </w:tr>
      <w:tr w14:paraId="2EA43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BF3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674AA">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预防性维护管理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88F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计划管理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2F5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可为每台设备建立巡检、保养、质控、计量等预防性维护内容，并可指定执行人员；</w:t>
            </w:r>
          </w:p>
          <w:p w14:paraId="11513C2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设备预防性维护（巡检、保养、质控、计量等）具有临期提示和延误预警；</w:t>
            </w:r>
          </w:p>
          <w:p w14:paraId="0BFD795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可在线查看计划执行情况；</w:t>
            </w:r>
          </w:p>
        </w:tc>
      </w:tr>
      <w:tr w14:paraId="1F721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FDA">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DC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84B4">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任务监控</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BA1A">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支持各科室各类预防性维护计划监控卡片；</w:t>
            </w:r>
          </w:p>
          <w:p w14:paraId="4CCC9C6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支持各科室待完成、已完成、延误任务数量；</w:t>
            </w:r>
          </w:p>
          <w:p w14:paraId="7DDDB05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支持自定义时间段任务查看；</w:t>
            </w:r>
          </w:p>
        </w:tc>
      </w:tr>
      <w:tr w14:paraId="6BB2A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F17D">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4B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6B2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执行管理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656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手机端查看每日任务，在线查看、记录执行内容，支持文字、图片等内容上传记录；</w:t>
            </w:r>
          </w:p>
          <w:p w14:paraId="32C7AC7C">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保养内容若有现异常，系统能自动提醒设备有异常情况；</w:t>
            </w:r>
          </w:p>
          <w:p w14:paraId="2213757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预防性维护（点检、巡检、保养、质控）能在工作台或者通过微信小程序或手机短信提醒到具体执行人；</w:t>
            </w:r>
          </w:p>
          <w:p w14:paraId="759081F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保养服务可在线进行评价服务评分和签字验收；</w:t>
            </w:r>
          </w:p>
        </w:tc>
      </w:tr>
      <w:tr w14:paraId="605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04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9F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150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模板管理功能</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A23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设备保养</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巡检</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质控的“检查项”可按不同设备自定义配置，手机端自动加载配置模板，需提供至少</w:t>
            </w:r>
            <w:r>
              <w:rPr>
                <w:rFonts w:hint="default" w:ascii="Calibri" w:hAnsi="Calibri" w:eastAsia="宋体" w:cs="Times New Roman"/>
                <w:kern w:val="2"/>
                <w:sz w:val="20"/>
                <w:szCs w:val="20"/>
                <w:lang w:val="en-US" w:eastAsia="zh-CN" w:bidi="ar"/>
              </w:rPr>
              <w:t>40</w:t>
            </w:r>
            <w:r>
              <w:rPr>
                <w:rFonts w:hint="eastAsia" w:ascii="Calibri" w:hAnsi="Calibri" w:eastAsia="宋体" w:cs="宋体"/>
                <w:kern w:val="2"/>
                <w:sz w:val="20"/>
                <w:szCs w:val="20"/>
                <w:lang w:val="en-US" w:eastAsia="zh-CN" w:bidi="ar"/>
              </w:rPr>
              <w:t>套典型标准模板</w:t>
            </w:r>
            <w:r>
              <w:rPr>
                <w:rFonts w:hint="eastAsia" w:ascii="Calibri" w:hAnsi="Calibri" w:cs="宋体"/>
                <w:kern w:val="2"/>
                <w:sz w:val="20"/>
                <w:szCs w:val="20"/>
                <w:lang w:val="en-US" w:eastAsia="zh-CN" w:bidi="ar"/>
              </w:rPr>
              <w:t>作</w:t>
            </w:r>
            <w:r>
              <w:rPr>
                <w:rFonts w:hint="eastAsia" w:ascii="Calibri" w:hAnsi="Calibri" w:eastAsia="宋体" w:cs="宋体"/>
                <w:kern w:val="2"/>
                <w:sz w:val="20"/>
                <w:szCs w:val="20"/>
                <w:lang w:val="en-US" w:eastAsia="zh-CN" w:bidi="ar"/>
              </w:rPr>
              <w:t>参考；</w:t>
            </w:r>
          </w:p>
        </w:tc>
      </w:tr>
      <w:tr w14:paraId="6683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90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51E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F80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工单管理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D427">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设备预防性维护（点检、巡检、保养、质控）任务明细可生成</w:t>
            </w:r>
            <w:r>
              <w:rPr>
                <w:rFonts w:hint="default" w:ascii="Calibri" w:hAnsi="Calibri" w:eastAsia="宋体" w:cs="Times New Roman"/>
                <w:kern w:val="2"/>
                <w:sz w:val="20"/>
                <w:szCs w:val="20"/>
                <w:lang w:val="en-US" w:eastAsia="zh-CN" w:bidi="ar"/>
              </w:rPr>
              <w:t>PDF</w:t>
            </w:r>
            <w:r>
              <w:rPr>
                <w:rFonts w:hint="eastAsia" w:ascii="Calibri" w:hAnsi="Calibri" w:eastAsia="宋体" w:cs="宋体"/>
                <w:kern w:val="2"/>
                <w:sz w:val="20"/>
                <w:szCs w:val="20"/>
                <w:lang w:val="en-US" w:eastAsia="zh-CN" w:bidi="ar"/>
              </w:rPr>
              <w:t>下载打印；</w:t>
            </w:r>
          </w:p>
        </w:tc>
      </w:tr>
      <w:tr w14:paraId="2045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E11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AC712">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效益分析</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单机</w:t>
            </w:r>
            <w:r>
              <w:rPr>
                <w:rFonts w:hint="default" w:ascii="Calibri" w:hAnsi="Calibri" w:eastAsia="宋体" w:cs="Times New Roman"/>
                <w:kern w:val="2"/>
                <w:sz w:val="20"/>
                <w:szCs w:val="20"/>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474">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效益分析大屏</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B83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设备效益分析数据监控中心大屏</w:t>
            </w:r>
          </w:p>
        </w:tc>
      </w:tr>
      <w:tr w14:paraId="1D667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366F">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771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C2DD">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成本导入</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456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折旧费、人工费、场地费、水电费等成本数据导入</w:t>
            </w:r>
          </w:p>
        </w:tc>
      </w:tr>
      <w:tr w14:paraId="2D3FA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C1F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4E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9DDD">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收益率分析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D5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设备收益率计算</w:t>
            </w:r>
          </w:p>
        </w:tc>
      </w:tr>
      <w:tr w14:paraId="20E9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70C3">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4E5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38A8">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回收期分析</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9A5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设备投资回收期计算</w:t>
            </w:r>
          </w:p>
        </w:tc>
      </w:tr>
      <w:tr w14:paraId="57389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7F7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7C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030">
            <w:pPr>
              <w:keepNext w:val="0"/>
              <w:keepLines w:val="0"/>
              <w:widowControl/>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效益分析报告</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FCF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设备效益分析报告批量生成</w:t>
            </w:r>
          </w:p>
          <w:p w14:paraId="07683109">
            <w:pPr>
              <w:keepNext w:val="0"/>
              <w:keepLines w:val="0"/>
              <w:widowControl w:val="0"/>
              <w:suppressLineNumbers w:val="0"/>
              <w:spacing w:before="0" w:beforeAutospacing="0" w:after="0" w:afterAutospacing="0"/>
              <w:ind w:left="28"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（供应商需提供该功能自有的软件著作权证书原件扫描件加以佐证）</w:t>
            </w:r>
          </w:p>
        </w:tc>
      </w:tr>
      <w:tr w14:paraId="0BFB5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899A">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7AB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BD5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设备登记使用</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60C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手机端在线领用、归还设备，手机端便携管控设备登记使用统计情况包含设备次数、时长和人员使用次数、时长等数据；</w:t>
            </w:r>
          </w:p>
          <w:p w14:paraId="0FB5D4E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设备登记使用数据可在电脑端导出为</w:t>
            </w:r>
            <w:r>
              <w:rPr>
                <w:rFonts w:hint="default" w:ascii="Calibri" w:hAnsi="Calibri" w:eastAsia="宋体" w:cs="Times New Roman"/>
                <w:kern w:val="2"/>
                <w:sz w:val="20"/>
                <w:szCs w:val="20"/>
                <w:lang w:val="en-US" w:eastAsia="zh-CN" w:bidi="ar"/>
              </w:rPr>
              <w:t>Excel</w:t>
            </w:r>
            <w:r>
              <w:rPr>
                <w:rFonts w:hint="eastAsia" w:ascii="Calibri" w:hAnsi="Calibri" w:eastAsia="宋体" w:cs="宋体"/>
                <w:kern w:val="2"/>
                <w:sz w:val="20"/>
                <w:szCs w:val="20"/>
                <w:lang w:val="en-US" w:eastAsia="zh-CN" w:bidi="ar"/>
              </w:rPr>
              <w:t>；</w:t>
            </w:r>
          </w:p>
        </w:tc>
      </w:tr>
      <w:tr w14:paraId="2905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BAE2">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A3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B85D">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设备外调</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60E0">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支持设备外调清单，外调详情、外调信息、归还信息等管理。</w:t>
            </w:r>
          </w:p>
        </w:tc>
      </w:tr>
      <w:tr w14:paraId="7D4E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3CB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D85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43B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设备培训管理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39AE">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可建立在线设备培训计划，关联视频进行在线培训；</w:t>
            </w:r>
          </w:p>
          <w:p w14:paraId="51F1297F">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可在线建立培训计划，自动生成签到码，培训完成后自动生成签到表，用户可把培训资料上传管理；</w:t>
            </w:r>
          </w:p>
        </w:tc>
      </w:tr>
      <w:tr w14:paraId="3B09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AAC4">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2E0E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医院等级评复审管理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FDA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评复审上传记录管理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16B5">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医院管理人员可在线查看医院等级评复审资料准备上传情况，把握等级评复审资料准备工作执行情况；</w:t>
            </w:r>
          </w:p>
        </w:tc>
      </w:tr>
      <w:tr w14:paraId="4625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42B">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BFF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06EE">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评复审法规资料管理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F89">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系统根据各省市评审要求，维护管理各地区医院等级评复审相关法规要求，医院可根据要求上传对应医院等级评复审资料；</w:t>
            </w:r>
          </w:p>
          <w:p w14:paraId="16826A21">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（供应商需提供该功能自有的软件著作权证书原件扫描件加以佐证）</w:t>
            </w:r>
          </w:p>
        </w:tc>
      </w:tr>
      <w:tr w14:paraId="2E8B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7247">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77F68">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系统综合管理</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基础信息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4E83">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宋体" w:hAnsi="宋体" w:eastAsia="宋体" w:cs="宋体"/>
                <w:color w:val="auto"/>
                <w:sz w:val="24"/>
                <w:szCs w:val="24"/>
                <w:highlight w:val="none"/>
              </w:rPr>
              <w:t>▲</w:t>
            </w:r>
            <w:r>
              <w:rPr>
                <w:rFonts w:hint="eastAsia" w:ascii="Calibri" w:hAnsi="Calibri" w:eastAsia="宋体" w:cs="宋体"/>
                <w:kern w:val="2"/>
                <w:sz w:val="20"/>
                <w:szCs w:val="20"/>
                <w:lang w:val="en-US" w:eastAsia="zh-CN" w:bidi="ar"/>
              </w:rPr>
              <w:t>不良事件上报</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FF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可以实现审核及上报全院不良事件；</w:t>
            </w:r>
          </w:p>
          <w:p w14:paraId="5CEADA96">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可实现一键快速生成全院不良事件标准化数据，并通过线上审核后直接将不良事件数据上报国家医疗器械不良事件监测信息系统；</w:t>
            </w:r>
          </w:p>
          <w:p w14:paraId="639D162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highlight w:val="none"/>
                <w:lang w:val="en-US"/>
              </w:rPr>
            </w:pPr>
            <w:r>
              <w:rPr>
                <w:rFonts w:hint="eastAsia" w:ascii="Calibri" w:hAnsi="Calibri" w:eastAsia="宋体" w:cs="宋体"/>
                <w:kern w:val="2"/>
                <w:sz w:val="20"/>
                <w:szCs w:val="20"/>
                <w:highlight w:val="none"/>
                <w:lang w:val="en-US" w:eastAsia="zh-CN" w:bidi="ar"/>
              </w:rPr>
              <w:t>可自动生成全院不良事件报告单</w:t>
            </w:r>
            <w:r>
              <w:rPr>
                <w:rFonts w:hint="default" w:ascii="Calibri" w:hAnsi="Calibri" w:eastAsia="宋体" w:cs="Times New Roman"/>
                <w:kern w:val="2"/>
                <w:sz w:val="20"/>
                <w:szCs w:val="20"/>
                <w:highlight w:val="none"/>
                <w:lang w:val="en-US" w:eastAsia="zh-CN" w:bidi="ar"/>
              </w:rPr>
              <w:t>pdf</w:t>
            </w:r>
            <w:r>
              <w:rPr>
                <w:rFonts w:hint="eastAsia" w:ascii="Calibri" w:hAnsi="Calibri" w:eastAsia="宋体" w:cs="宋体"/>
                <w:kern w:val="2"/>
                <w:sz w:val="20"/>
                <w:szCs w:val="20"/>
                <w:highlight w:val="none"/>
                <w:lang w:val="en-US" w:eastAsia="zh-CN" w:bidi="ar"/>
              </w:rPr>
              <w:t>文件；</w:t>
            </w:r>
          </w:p>
          <w:p w14:paraId="1FB57642">
            <w:pPr>
              <w:keepNext w:val="0"/>
              <w:keepLines w:val="0"/>
              <w:widowControl w:val="0"/>
              <w:suppressLineNumbers w:val="0"/>
              <w:spacing w:before="0" w:beforeAutospacing="0" w:after="0" w:afterAutospacing="0"/>
              <w:ind w:left="0" w:right="0"/>
              <w:jc w:val="both"/>
              <w:rPr>
                <w:rFonts w:hint="default" w:ascii="Calibri" w:hAnsi="Calibri" w:cs="Times New Roman"/>
                <w:sz w:val="20"/>
                <w:szCs w:val="20"/>
                <w:lang w:val="en-US"/>
              </w:rPr>
            </w:pPr>
            <w:r>
              <w:rPr>
                <w:rFonts w:hint="eastAsia" w:ascii="Calibri" w:hAnsi="Calibri" w:eastAsia="宋体" w:cs="宋体"/>
                <w:kern w:val="2"/>
                <w:sz w:val="20"/>
                <w:szCs w:val="20"/>
                <w:highlight w:val="none"/>
                <w:lang w:val="en-US" w:eastAsia="zh-CN" w:bidi="ar"/>
              </w:rPr>
              <w:t>（供应商需提供该功能自有的软件著作权证书原件扫描件加以佐证）</w:t>
            </w:r>
          </w:p>
        </w:tc>
      </w:tr>
      <w:tr w14:paraId="06B4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343C">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4FD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6E46">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科室管理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348">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系统可灵活配置科室、房间</w:t>
            </w:r>
          </w:p>
        </w:tc>
      </w:tr>
      <w:tr w14:paraId="032E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6F39">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1C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B08B">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供应商参数管理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812">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医院可对供应商、经销商、维保商参数进行管理，可维护供应商名称、联系人、联系方式、资质资料等管理，且供应商资质资料过期后自动提醒相关人员：</w:t>
            </w:r>
          </w:p>
          <w:p w14:paraId="6028D783">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供应商参数维护完成后，设备档案信息维护可选择对应供应商</w:t>
            </w:r>
            <w:r>
              <w:rPr>
                <w:rFonts w:hint="default" w:ascii="Calibri" w:hAnsi="Calibri" w:eastAsia="宋体" w:cs="Times New Roman"/>
                <w:kern w:val="2"/>
                <w:sz w:val="20"/>
                <w:szCs w:val="20"/>
                <w:lang w:val="en-US" w:eastAsia="zh-CN" w:bidi="ar"/>
              </w:rPr>
              <w:t>,</w:t>
            </w:r>
            <w:r>
              <w:rPr>
                <w:rFonts w:hint="eastAsia" w:ascii="Calibri" w:hAnsi="Calibri" w:eastAsia="宋体" w:cs="宋体"/>
                <w:kern w:val="2"/>
                <w:sz w:val="20"/>
                <w:szCs w:val="20"/>
                <w:lang w:val="en-US" w:eastAsia="zh-CN" w:bidi="ar"/>
              </w:rPr>
              <w:t>系统自动将对应供应商信息维护到设备档案信息；</w:t>
            </w:r>
          </w:p>
        </w:tc>
      </w:tr>
      <w:tr w14:paraId="480DD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155E">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19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FE29">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数据统计报表</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522D">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系统自动统计设备开机率、报修率、返修率、故障原因分析等全生命周期管理的数据分析报表；</w:t>
            </w:r>
          </w:p>
          <w:p w14:paraId="347B45C1">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统计报表可以图文，也可以生成</w:t>
            </w:r>
            <w:r>
              <w:rPr>
                <w:rFonts w:hint="default" w:ascii="Calibri" w:hAnsi="Calibri" w:eastAsia="宋体" w:cs="Times New Roman"/>
                <w:kern w:val="2"/>
                <w:sz w:val="20"/>
                <w:szCs w:val="20"/>
                <w:lang w:val="en-US" w:eastAsia="zh-CN" w:bidi="ar"/>
              </w:rPr>
              <w:t>excel</w:t>
            </w:r>
            <w:r>
              <w:rPr>
                <w:rFonts w:hint="eastAsia" w:ascii="Calibri" w:hAnsi="Calibri" w:eastAsia="宋体" w:cs="宋体"/>
                <w:kern w:val="2"/>
                <w:sz w:val="20"/>
                <w:szCs w:val="20"/>
                <w:lang w:val="en-US" w:eastAsia="zh-CN" w:bidi="ar"/>
              </w:rPr>
              <w:t>明细；</w:t>
            </w:r>
          </w:p>
        </w:tc>
      </w:tr>
      <w:tr w14:paraId="251D8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99A5">
            <w:pPr>
              <w:keepNext w:val="0"/>
              <w:keepLines w:val="0"/>
              <w:widowControl w:val="0"/>
              <w:numPr>
                <w:ilvl w:val="0"/>
                <w:numId w:val="2"/>
              </w:numPr>
              <w:suppressLineNumbers w:val="0"/>
              <w:snapToGrid w:val="0"/>
              <w:spacing w:before="0" w:beforeAutospacing="0" w:after="0" w:afterAutospacing="0"/>
              <w:ind w:left="0" w:right="0" w:firstLine="0"/>
              <w:jc w:val="center"/>
              <w:rPr>
                <w:rFonts w:hint="default" w:ascii="Calibri" w:hAnsi="Calibri" w:cs="Times New Roman"/>
                <w:sz w:val="20"/>
                <w:szCs w:val="20"/>
                <w:lang w:val="en-US"/>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651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907F">
            <w:pPr>
              <w:keepNext w:val="0"/>
              <w:keepLines w:val="0"/>
              <w:widowControl w:val="0"/>
              <w:suppressLineNumbers w:val="0"/>
              <w:spacing w:before="0" w:beforeAutospacing="0" w:after="0" w:afterAutospacing="0"/>
              <w:ind w:left="0" w:right="0"/>
              <w:jc w:val="center"/>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知识库管理</w:t>
            </w:r>
          </w:p>
        </w:tc>
        <w:tc>
          <w:tcPr>
            <w:tcW w:w="6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49A4">
            <w:pPr>
              <w:keepNext w:val="0"/>
              <w:keepLines w:val="0"/>
              <w:widowControl w:val="0"/>
              <w:numPr>
                <w:ilvl w:val="0"/>
                <w:numId w:val="3"/>
              </w:numPr>
              <w:suppressLineNumbers w:val="0"/>
              <w:snapToGrid w:val="0"/>
              <w:spacing w:before="0" w:beforeAutospacing="0" w:after="0" w:afterAutospacing="0"/>
              <w:ind w:left="282" w:right="0" w:hanging="282"/>
              <w:jc w:val="both"/>
              <w:rPr>
                <w:rFonts w:hint="default" w:ascii="Calibri" w:hAnsi="Calibri" w:cs="Times New Roman"/>
                <w:sz w:val="20"/>
                <w:szCs w:val="20"/>
                <w:lang w:val="en-US"/>
              </w:rPr>
            </w:pPr>
            <w:r>
              <w:rPr>
                <w:rFonts w:hint="eastAsia" w:ascii="Calibri" w:hAnsi="Calibri" w:eastAsia="宋体" w:cs="宋体"/>
                <w:kern w:val="2"/>
                <w:sz w:val="20"/>
                <w:szCs w:val="20"/>
                <w:lang w:val="en-US" w:eastAsia="zh-CN" w:bidi="ar"/>
              </w:rPr>
              <w:t>系统上提供设备维修案例，含故障描述及应对维修指引至少</w:t>
            </w:r>
            <w:r>
              <w:rPr>
                <w:rFonts w:hint="default" w:ascii="Calibri" w:hAnsi="Calibri" w:eastAsia="宋体" w:cs="Times New Roman"/>
                <w:kern w:val="2"/>
                <w:sz w:val="20"/>
                <w:szCs w:val="20"/>
                <w:lang w:val="en-US" w:eastAsia="zh-CN" w:bidi="ar"/>
              </w:rPr>
              <w:t>8000</w:t>
            </w:r>
            <w:r>
              <w:rPr>
                <w:rFonts w:hint="eastAsia" w:ascii="Calibri" w:hAnsi="Calibri" w:eastAsia="宋体" w:cs="宋体"/>
                <w:kern w:val="2"/>
                <w:sz w:val="20"/>
                <w:szCs w:val="20"/>
                <w:lang w:val="en-US" w:eastAsia="zh-CN" w:bidi="ar"/>
              </w:rPr>
              <w:t>条</w:t>
            </w:r>
            <w:r>
              <w:rPr>
                <w:rFonts w:hint="eastAsia" w:ascii="Calibri" w:hAnsi="Calibri" w:cs="宋体"/>
                <w:kern w:val="2"/>
                <w:sz w:val="20"/>
                <w:szCs w:val="20"/>
                <w:lang w:val="en-US" w:eastAsia="zh-CN" w:bidi="ar"/>
              </w:rPr>
              <w:t>及</w:t>
            </w:r>
            <w:r>
              <w:rPr>
                <w:rFonts w:hint="eastAsia" w:ascii="Calibri" w:hAnsi="Calibri" w:eastAsia="宋体" w:cs="宋体"/>
                <w:kern w:val="2"/>
                <w:sz w:val="20"/>
                <w:szCs w:val="20"/>
                <w:lang w:val="en-US" w:eastAsia="zh-CN" w:bidi="ar"/>
              </w:rPr>
              <w:t>以上；</w:t>
            </w:r>
          </w:p>
        </w:tc>
      </w:tr>
    </w:tbl>
    <w:p w14:paraId="1970ECD4">
      <w:pPr>
        <w:pStyle w:val="8"/>
        <w:widowControl/>
        <w:spacing w:before="0" w:beforeAutospacing="0" w:after="120" w:afterAutospacing="0"/>
        <w:ind w:leftChars="200" w:right="0"/>
        <w:rPr>
          <w:lang w:val="en-US"/>
        </w:rPr>
      </w:pPr>
    </w:p>
    <w:p w14:paraId="47F0D7AD">
      <w:pPr>
        <w:pStyle w:val="7"/>
        <w:keepNext w:val="0"/>
        <w:keepLines w:val="0"/>
        <w:widowControl w:val="0"/>
        <w:suppressLineNumbers w:val="0"/>
        <w:spacing w:before="0" w:beforeAutospacing="0" w:after="120" w:afterLines="50" w:afterAutospacing="0" w:line="400" w:lineRule="exact"/>
        <w:ind w:left="0" w:right="0" w:firstLine="240" w:firstLineChars="100"/>
        <w:jc w:val="left"/>
        <w:rPr>
          <w:rFonts w:hint="eastAsia" w:ascii="Calibri" w:hAnsi="Calibri" w:eastAsia="宋体" w:cs="宋体"/>
          <w:b w:val="0"/>
          <w:bCs w:val="0"/>
          <w:kern w:val="2"/>
          <w:sz w:val="24"/>
          <w:szCs w:val="22"/>
          <w:lang w:val="en-US" w:eastAsia="zh-CN" w:bidi="ar"/>
        </w:rPr>
      </w:pPr>
    </w:p>
    <w:p w14:paraId="696B3C55">
      <w:pPr>
        <w:pStyle w:val="7"/>
        <w:keepNext w:val="0"/>
        <w:keepLines w:val="0"/>
        <w:widowControl w:val="0"/>
        <w:suppressLineNumbers w:val="0"/>
        <w:spacing w:before="0" w:beforeAutospacing="0" w:after="120" w:afterLines="50" w:afterAutospacing="0" w:line="400" w:lineRule="exact"/>
        <w:ind w:left="0" w:right="0" w:firstLine="240" w:firstLineChars="100"/>
        <w:jc w:val="left"/>
        <w:rPr>
          <w:rFonts w:hint="eastAsia" w:ascii="Calibri" w:hAnsi="Calibri" w:eastAsia="宋体" w:cs="宋体"/>
          <w:b w:val="0"/>
          <w:bCs w:val="0"/>
          <w:kern w:val="2"/>
          <w:sz w:val="24"/>
          <w:szCs w:val="22"/>
          <w:lang w:val="en-US" w:eastAsia="zh-CN" w:bidi="ar"/>
        </w:rPr>
      </w:pPr>
    </w:p>
    <w:p w14:paraId="3101516B">
      <w:pPr>
        <w:pStyle w:val="7"/>
        <w:keepNext w:val="0"/>
        <w:keepLines w:val="0"/>
        <w:widowControl w:val="0"/>
        <w:suppressLineNumbers w:val="0"/>
        <w:spacing w:before="0" w:beforeAutospacing="0" w:after="120" w:afterLines="50" w:afterAutospacing="0" w:line="400" w:lineRule="exact"/>
        <w:ind w:left="0" w:right="0" w:firstLine="240" w:firstLineChars="100"/>
        <w:jc w:val="left"/>
        <w:rPr>
          <w:rFonts w:hint="eastAsia" w:ascii="Calibri" w:hAnsi="Calibri" w:eastAsia="宋体" w:cs="宋体"/>
          <w:b w:val="0"/>
          <w:bCs w:val="0"/>
          <w:kern w:val="2"/>
          <w:sz w:val="24"/>
          <w:szCs w:val="22"/>
          <w:lang w:val="en-US" w:eastAsia="zh-CN" w:bidi="ar"/>
        </w:rPr>
      </w:pPr>
    </w:p>
    <w:p w14:paraId="3F40C36E">
      <w:pPr>
        <w:pStyle w:val="7"/>
        <w:keepNext w:val="0"/>
        <w:keepLines w:val="0"/>
        <w:widowControl w:val="0"/>
        <w:suppressLineNumbers w:val="0"/>
        <w:spacing w:before="0" w:beforeAutospacing="0" w:after="120" w:afterLines="50" w:afterAutospacing="0" w:line="400" w:lineRule="exact"/>
        <w:ind w:left="0" w:right="0" w:firstLine="240" w:firstLineChars="100"/>
        <w:jc w:val="left"/>
        <w:rPr>
          <w:rFonts w:hint="eastAsia" w:ascii="Calibri" w:hAnsi="Calibri" w:eastAsia="宋体" w:cs="宋体"/>
          <w:b w:val="0"/>
          <w:bCs w:val="0"/>
          <w:kern w:val="2"/>
          <w:sz w:val="24"/>
          <w:szCs w:val="22"/>
          <w:lang w:val="en-US" w:eastAsia="zh-CN" w:bidi="ar"/>
        </w:rPr>
      </w:pPr>
    </w:p>
    <w:p w14:paraId="0767518F">
      <w:pPr>
        <w:pStyle w:val="7"/>
        <w:keepNext w:val="0"/>
        <w:keepLines w:val="0"/>
        <w:widowControl w:val="0"/>
        <w:suppressLineNumbers w:val="0"/>
        <w:spacing w:before="0" w:beforeAutospacing="0" w:after="120" w:afterLines="50" w:afterAutospacing="0" w:line="400" w:lineRule="exact"/>
        <w:ind w:left="0" w:right="0" w:firstLine="240" w:firstLineChars="100"/>
        <w:jc w:val="left"/>
        <w:rPr>
          <w:rFonts w:hint="eastAsia" w:ascii="Calibri" w:hAnsi="Calibri" w:eastAsia="宋体" w:cs="宋体"/>
          <w:b w:val="0"/>
          <w:bCs w:val="0"/>
          <w:kern w:val="2"/>
          <w:sz w:val="24"/>
          <w:szCs w:val="22"/>
          <w:lang w:val="en-US" w:eastAsia="zh-CN" w:bidi="ar"/>
        </w:rPr>
      </w:pPr>
    </w:p>
    <w:p w14:paraId="737EEE82">
      <w:pPr>
        <w:pStyle w:val="7"/>
        <w:keepNext w:val="0"/>
        <w:keepLines w:val="0"/>
        <w:widowControl w:val="0"/>
        <w:suppressLineNumbers w:val="0"/>
        <w:spacing w:before="0" w:beforeAutospacing="0" w:after="120" w:afterLines="50" w:afterAutospacing="0" w:line="400" w:lineRule="exact"/>
        <w:ind w:left="0" w:right="0" w:firstLine="240" w:firstLineChars="100"/>
        <w:jc w:val="left"/>
        <w:rPr>
          <w:b w:val="0"/>
          <w:bCs w:val="0"/>
          <w:sz w:val="24"/>
          <w:szCs w:val="22"/>
          <w:lang w:val="en-US"/>
        </w:rPr>
      </w:pPr>
      <w:r>
        <w:rPr>
          <w:rFonts w:hint="eastAsia" w:ascii="Calibri" w:hAnsi="Calibri" w:eastAsia="宋体" w:cs="宋体"/>
          <w:b w:val="0"/>
          <w:bCs w:val="0"/>
          <w:kern w:val="2"/>
          <w:sz w:val="24"/>
          <w:szCs w:val="22"/>
          <w:lang w:val="en-US" w:eastAsia="zh-CN" w:bidi="ar"/>
        </w:rPr>
        <w:t>六、服务要求</w:t>
      </w:r>
    </w:p>
    <w:p w14:paraId="6575711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i w:val="0"/>
          <w:iCs w:val="0"/>
          <w:caps w:val="0"/>
          <w:color w:val="000000"/>
          <w:spacing w:val="0"/>
          <w:sz w:val="24"/>
          <w:szCs w:val="24"/>
          <w:shd w:val="clear" w:fill="FFFFFF"/>
          <w:lang w:val="en-US" w:eastAsia="zh-CN"/>
        </w:rPr>
        <w:t>1.</w:t>
      </w:r>
      <w:r>
        <w:rPr>
          <w:rFonts w:hint="eastAsia" w:ascii="宋体" w:hAnsi="宋体" w:eastAsia="宋体" w:cs="宋体"/>
          <w:b w:val="0"/>
          <w:bCs w:val="0"/>
          <w:kern w:val="2"/>
          <w:sz w:val="24"/>
          <w:szCs w:val="24"/>
          <w:lang w:val="en-US" w:eastAsia="zh-CN" w:bidi="ar"/>
        </w:rPr>
        <w:t>不接收联合体或分包</w:t>
      </w:r>
    </w:p>
    <w:p w14:paraId="63CCCF41">
      <w:pPr>
        <w:pStyle w:val="7"/>
        <w:keepNext w:val="0"/>
        <w:keepLines w:val="0"/>
        <w:widowControl w:val="0"/>
        <w:suppressLineNumbers w:val="0"/>
        <w:spacing w:before="0" w:beforeAutospacing="0" w:after="0" w:afterAutospacing="0" w:line="420" w:lineRule="atLeast"/>
        <w:ind w:right="0" w:firstLine="480" w:firstLineChars="200"/>
        <w:jc w:val="left"/>
        <w:rPr>
          <w:rFonts w:hint="eastAsia" w:ascii="宋体" w:hAnsi="宋体" w:eastAsia="宋体" w:cs="宋体"/>
          <w:b w:val="0"/>
          <w:bCs w:val="0"/>
          <w:sz w:val="24"/>
          <w:szCs w:val="24"/>
          <w:highlight w:val="none"/>
          <w:lang w:val="en-US"/>
        </w:rPr>
      </w:pPr>
      <w:r>
        <w:rPr>
          <w:rFonts w:hint="eastAsia" w:ascii="宋体" w:hAnsi="宋体" w:eastAsia="宋体" w:cs="宋体"/>
          <w:b w:val="0"/>
          <w:bCs w:val="0"/>
          <w:kern w:val="2"/>
          <w:sz w:val="24"/>
          <w:szCs w:val="24"/>
          <w:lang w:val="en-US" w:eastAsia="zh-CN" w:bidi="ar"/>
        </w:rPr>
        <w:t>2.服务质量要求：</w:t>
      </w:r>
      <w:r>
        <w:rPr>
          <w:rFonts w:hint="eastAsia" w:ascii="宋体" w:hAnsi="宋体" w:eastAsia="宋体" w:cs="宋体"/>
          <w:b w:val="0"/>
          <w:bCs w:val="0"/>
          <w:kern w:val="2"/>
          <w:sz w:val="24"/>
          <w:szCs w:val="24"/>
          <w:highlight w:val="none"/>
          <w:lang w:val="en-US" w:eastAsia="zh-CN" w:bidi="ar"/>
        </w:rPr>
        <w:t>服务期间，针对采购人清单内的放射医疗设备，其他如新购放射医疗设备质保到期后按中标费率自动纳入本项目维保范围。</w:t>
      </w:r>
    </w:p>
    <w:p w14:paraId="6C4CF6A3">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sz w:val="24"/>
          <w:szCs w:val="24"/>
          <w:highlight w:val="none"/>
          <w:lang w:val="en-US"/>
        </w:rPr>
      </w:pPr>
      <w:r>
        <w:rPr>
          <w:rFonts w:hint="eastAsia" w:ascii="宋体" w:hAnsi="宋体" w:eastAsia="宋体" w:cs="宋体"/>
          <w:b w:val="0"/>
          <w:bCs w:val="0"/>
          <w:kern w:val="2"/>
          <w:sz w:val="24"/>
          <w:szCs w:val="24"/>
          <w:highlight w:val="none"/>
          <w:lang w:val="en-US" w:eastAsia="zh-CN" w:bidi="ar"/>
        </w:rPr>
        <w:t>3.信息系统需求：</w:t>
      </w:r>
    </w:p>
    <w:p w14:paraId="1B5D6A35">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sz w:val="24"/>
          <w:szCs w:val="24"/>
          <w:highlight w:val="none"/>
          <w:lang w:val="en-US"/>
        </w:rPr>
      </w:pPr>
      <w:r>
        <w:rPr>
          <w:rFonts w:hint="eastAsia" w:ascii="宋体" w:hAnsi="宋体" w:eastAsia="宋体" w:cs="宋体"/>
          <w:b w:val="0"/>
          <w:bCs w:val="0"/>
          <w:kern w:val="2"/>
          <w:sz w:val="24"/>
          <w:szCs w:val="24"/>
          <w:highlight w:val="none"/>
          <w:lang w:val="en-US" w:eastAsia="zh-CN" w:bidi="ar"/>
        </w:rPr>
        <w:t>3.1报价含信息系统接口费，接口需按医院协商各集成平台总线标准开发对接（包括但不限于 HRP、HIS、PACS、LIS 等系统），满足系统功能及管理功能正常运行需要。</w:t>
      </w:r>
    </w:p>
    <w:p w14:paraId="18700FAF">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3.2负责提供的医疗设备全生命周期管理平台所需的服务器部署支持（含操作系统、数据库的安装部署），服务器由采购人提供，供应商需配合完成系统适配与调试。</w:t>
      </w:r>
    </w:p>
    <w:p w14:paraId="1950C9E6">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3.3系统可根据医院管理要求进行二次开发，二次开发内容与平台主体开发同步推进，不另行收取费用。</w:t>
      </w:r>
    </w:p>
    <w:p w14:paraId="7C6593DA">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3.4软件正版化原则：必须保证提供的产品（软件、服务内容）系依法享有完全使用权；采购人在中华人民共和国境内使用产品及服务时，免受第三方提出的侵犯专利权或其他知识产权的起诉，若发生侵权指控，供应商承担全部法律责任和费用。</w:t>
      </w:r>
    </w:p>
    <w:p w14:paraId="11F7397A">
      <w:pPr>
        <w:pStyle w:val="7"/>
        <w:keepNext w:val="0"/>
        <w:keepLines w:val="0"/>
        <w:widowControl w:val="0"/>
        <w:suppressLineNumbers w:val="0"/>
        <w:spacing w:before="0" w:beforeAutospacing="0" w:after="0" w:afterAutospacing="0" w:line="420" w:lineRule="atLeast"/>
        <w:ind w:left="0" w:right="0" w:firstLine="420" w:firstLineChars="175"/>
        <w:jc w:val="left"/>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3.5采购人与中标供应商合同履行结束后医疗设备全生命周期管理平台、相关信息系统、软件及二次开发成果需无偿移交采购人使用，如需继续维护可协商签订有偿维护协议，移交内容包含技术文档、部署手册等资料，如需更换系统则无条件配合采购人转移数据至新系统或提供数据接口适配新系统。</w:t>
      </w:r>
    </w:p>
    <w:p w14:paraId="770E1F87">
      <w:pPr>
        <w:pStyle w:val="7"/>
        <w:keepNext w:val="0"/>
        <w:keepLines w:val="0"/>
        <w:widowControl w:val="0"/>
        <w:numPr>
          <w:ilvl w:val="0"/>
          <w:numId w:val="0"/>
        </w:numPr>
        <w:suppressLineNumbers w:val="0"/>
        <w:spacing w:before="0" w:beforeAutospacing="0" w:after="0" w:afterAutospacing="0" w:line="420" w:lineRule="atLeast"/>
        <w:ind w:left="0" w:right="0" w:rightChars="0" w:firstLine="480" w:firstLineChars="200"/>
        <w:jc w:val="left"/>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4.服务期限</w:t>
      </w:r>
    </w:p>
    <w:p w14:paraId="070B2B62">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
        </w:rPr>
        <w:t xml:space="preserve">服务期限为二年，合同模式为一年一签订，从签订合同之日开始计算服务日期。合同签订后每年度由采购人各使用部门和设备管理部门进行考评，若考评多次均无法达到采购人服务要求，采购人有权解除合同，不再顺延。 </w:t>
      </w:r>
    </w:p>
    <w:p w14:paraId="130E5F22">
      <w:pPr>
        <w:keepNext w:val="0"/>
        <w:keepLines w:val="0"/>
        <w:widowControl w:val="0"/>
        <w:suppressLineNumbers w:val="0"/>
        <w:adjustRightInd w:val="0"/>
        <w:snapToGrid w:val="0"/>
        <w:spacing w:before="0" w:beforeAutospacing="0" w:after="0" w:afterAutospacing="0" w:line="420" w:lineRule="atLeast"/>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kern w:val="2"/>
          <w:sz w:val="24"/>
          <w:szCs w:val="24"/>
          <w:lang w:val="en-US" w:eastAsia="zh-CN" w:bidi="ar"/>
        </w:rPr>
        <w:t>考核方式和合格标准</w:t>
      </w:r>
    </w:p>
    <w:p w14:paraId="07CD36E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00" w:firstLineChars="200"/>
        <w:textAlignment w:val="auto"/>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spacing w:val="5"/>
          <w:kern w:val="2"/>
          <w:sz w:val="24"/>
          <w:szCs w:val="24"/>
          <w:lang w:val="en-US" w:eastAsia="zh-CN" w:bidi="ar"/>
        </w:rPr>
        <w:t>采购人</w:t>
      </w:r>
      <w:r>
        <w:rPr>
          <w:rFonts w:hint="eastAsia" w:ascii="宋体" w:hAnsi="宋体" w:eastAsia="宋体" w:cs="宋体"/>
          <w:b w:val="0"/>
          <w:bCs w:val="0"/>
          <w:kern w:val="2"/>
          <w:sz w:val="24"/>
          <w:szCs w:val="24"/>
          <w:lang w:val="en-US" w:eastAsia="zh-CN" w:bidi="ar"/>
        </w:rPr>
        <w:t>按照《医疗器械使用质量监督管理办法》、《三级公立医院绩效考核指标》等对</w:t>
      </w:r>
      <w:r>
        <w:rPr>
          <w:rFonts w:hint="eastAsia" w:ascii="宋体" w:hAnsi="宋体" w:eastAsia="宋体" w:cs="宋体"/>
          <w:b w:val="0"/>
          <w:bCs w:val="0"/>
          <w:spacing w:val="5"/>
          <w:kern w:val="2"/>
          <w:sz w:val="24"/>
          <w:szCs w:val="24"/>
          <w:lang w:val="en-US" w:eastAsia="zh-CN" w:bidi="ar"/>
        </w:rPr>
        <w:t>中标供应商</w:t>
      </w:r>
      <w:r>
        <w:rPr>
          <w:rFonts w:hint="eastAsia" w:ascii="宋体" w:hAnsi="宋体" w:eastAsia="宋体" w:cs="宋体"/>
          <w:b w:val="0"/>
          <w:bCs w:val="0"/>
          <w:kern w:val="2"/>
          <w:sz w:val="24"/>
          <w:szCs w:val="24"/>
          <w:lang w:val="en-US" w:eastAsia="zh-CN" w:bidi="ar"/>
        </w:rPr>
        <w:t>进行年度服务考核</w:t>
      </w:r>
      <w:r>
        <w:rPr>
          <w:rFonts w:hint="eastAsia" w:ascii="宋体" w:hAnsi="宋体" w:eastAsia="宋体" w:cs="宋体"/>
          <w:b w:val="0"/>
          <w:bCs w:val="0"/>
          <w:spacing w:val="5"/>
          <w:kern w:val="2"/>
          <w:sz w:val="24"/>
          <w:szCs w:val="24"/>
          <w:lang w:val="en-US" w:eastAsia="zh-CN" w:bidi="ar"/>
        </w:rPr>
        <w:t>。平均分以80分作为合格分数线，80分以下每低一分扣除本年度合同金额的3‰，罚款标准一般上限为本年度合同金额的3%。</w:t>
      </w:r>
    </w:p>
    <w:p w14:paraId="4D1792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p>
    <w:p w14:paraId="42851D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p>
    <w:p w14:paraId="4F4259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p>
    <w:p w14:paraId="7AC43EE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附件</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 xml:space="preserve"> 考核标准    </w:t>
      </w:r>
      <w:r>
        <w:rPr>
          <w:rFonts w:hint="eastAsia" w:ascii="宋体" w:hAnsi="宋体" w:eastAsia="宋体" w:cs="宋体"/>
          <w:b/>
          <w:color w:val="auto"/>
          <w:sz w:val="24"/>
          <w:szCs w:val="24"/>
          <w:highlight w:val="none"/>
          <w:lang w:val="en-US" w:eastAsia="zh-CN"/>
        </w:rPr>
        <w:t xml:space="preserve">                            </w:t>
      </w:r>
    </w:p>
    <w:tbl>
      <w:tblPr>
        <w:tblStyle w:val="9"/>
        <w:tblW w:w="10035" w:type="dxa"/>
        <w:jc w:val="center"/>
        <w:tblLayout w:type="fixed"/>
        <w:tblCellMar>
          <w:top w:w="0" w:type="dxa"/>
          <w:left w:w="108" w:type="dxa"/>
          <w:bottom w:w="0" w:type="dxa"/>
          <w:right w:w="108" w:type="dxa"/>
        </w:tblCellMar>
      </w:tblPr>
      <w:tblGrid>
        <w:gridCol w:w="490"/>
        <w:gridCol w:w="1500"/>
        <w:gridCol w:w="683"/>
        <w:gridCol w:w="4017"/>
        <w:gridCol w:w="765"/>
        <w:gridCol w:w="1905"/>
        <w:gridCol w:w="675"/>
      </w:tblGrid>
      <w:tr w14:paraId="0F17BD0F">
        <w:tblPrEx>
          <w:tblCellMar>
            <w:top w:w="0" w:type="dxa"/>
            <w:left w:w="108" w:type="dxa"/>
            <w:bottom w:w="0" w:type="dxa"/>
            <w:right w:w="108" w:type="dxa"/>
          </w:tblCellMar>
        </w:tblPrEx>
        <w:trPr>
          <w:trHeight w:val="389" w:hRule="atLeast"/>
          <w:jc w:val="center"/>
        </w:trPr>
        <w:tc>
          <w:tcPr>
            <w:tcW w:w="10035" w:type="dxa"/>
            <w:gridSpan w:val="7"/>
            <w:tcBorders>
              <w:top w:val="single" w:color="auto" w:sz="4" w:space="0"/>
              <w:left w:val="single" w:color="auto" w:sz="4" w:space="0"/>
              <w:bottom w:val="single" w:color="auto" w:sz="4" w:space="0"/>
              <w:right w:val="single" w:color="auto" w:sz="4" w:space="0"/>
            </w:tcBorders>
            <w:noWrap w:val="0"/>
            <w:vAlign w:val="center"/>
          </w:tcPr>
          <w:p w14:paraId="00084D1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合浦县</w:t>
            </w:r>
            <w:r>
              <w:rPr>
                <w:rFonts w:hint="eastAsia" w:ascii="宋体" w:hAnsi="宋体" w:eastAsia="宋体" w:cs="宋体"/>
                <w:b/>
                <w:bCs/>
                <w:color w:val="auto"/>
                <w:kern w:val="0"/>
                <w:sz w:val="21"/>
                <w:szCs w:val="21"/>
                <w:highlight w:val="none"/>
              </w:rPr>
              <w:t>人民医院医疗设备维保服务考核及处罚标准</w:t>
            </w:r>
          </w:p>
        </w:tc>
      </w:tr>
      <w:tr w14:paraId="47216A52">
        <w:tblPrEx>
          <w:tblCellMar>
            <w:top w:w="0" w:type="dxa"/>
            <w:left w:w="108" w:type="dxa"/>
            <w:bottom w:w="0" w:type="dxa"/>
            <w:right w:w="108" w:type="dxa"/>
          </w:tblCellMar>
        </w:tblPrEx>
        <w:trPr>
          <w:trHeight w:val="499"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3CADA6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7D7E8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考核指标</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41D25D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指标赋值</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19BA36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评分标准</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6EF088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评分依据</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54232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评分方式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6EDF681">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得分</w:t>
            </w:r>
          </w:p>
        </w:tc>
      </w:tr>
      <w:tr w14:paraId="643E5643">
        <w:tblPrEx>
          <w:tblCellMar>
            <w:top w:w="0" w:type="dxa"/>
            <w:left w:w="108" w:type="dxa"/>
            <w:bottom w:w="0" w:type="dxa"/>
            <w:right w:w="108" w:type="dxa"/>
          </w:tblCellMar>
        </w:tblPrEx>
        <w:trPr>
          <w:trHeight w:val="1290"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0D7243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0431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维修及时性</w:t>
            </w:r>
          </w:p>
        </w:tc>
        <w:tc>
          <w:tcPr>
            <w:tcW w:w="683" w:type="dxa"/>
            <w:tcBorders>
              <w:top w:val="single" w:color="auto" w:sz="4" w:space="0"/>
              <w:left w:val="nil"/>
              <w:bottom w:val="single" w:color="auto" w:sz="4" w:space="0"/>
              <w:right w:val="single" w:color="auto" w:sz="4" w:space="0"/>
            </w:tcBorders>
            <w:noWrap w:val="0"/>
            <w:vAlign w:val="center"/>
          </w:tcPr>
          <w:p w14:paraId="659359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4017" w:type="dxa"/>
            <w:tcBorders>
              <w:top w:val="single" w:color="auto" w:sz="4" w:space="0"/>
              <w:left w:val="nil"/>
              <w:bottom w:val="single" w:color="auto" w:sz="4" w:space="0"/>
              <w:right w:val="single" w:color="auto" w:sz="4" w:space="0"/>
            </w:tcBorders>
            <w:noWrap w:val="0"/>
            <w:vAlign w:val="center"/>
          </w:tcPr>
          <w:p w14:paraId="78D2D14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A:未设立24小时报修电话，此项得0分。                                           B:接到报修后，应立即电话响应，每超过</w:t>
            </w:r>
            <w:r>
              <w:rPr>
                <w:rFonts w:hint="eastAsia" w:ascii="宋体" w:hAnsi="宋体" w:eastAsia="宋体" w:cs="宋体"/>
                <w:color w:val="auto"/>
                <w:kern w:val="0"/>
                <w:sz w:val="21"/>
                <w:szCs w:val="21"/>
                <w:highlight w:val="none"/>
                <w:lang w:val="en-US" w:eastAsia="zh-CN"/>
              </w:rPr>
              <w:t>30分钟</w:t>
            </w:r>
            <w:r>
              <w:rPr>
                <w:rFonts w:hint="eastAsia" w:ascii="宋体" w:hAnsi="宋体" w:eastAsia="宋体" w:cs="宋体"/>
                <w:color w:val="auto"/>
                <w:kern w:val="0"/>
                <w:sz w:val="21"/>
                <w:szCs w:val="21"/>
                <w:highlight w:val="none"/>
              </w:rPr>
              <w:t>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分，扣完为止。</w:t>
            </w:r>
          </w:p>
          <w:p w14:paraId="0A5946C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C:当无法通过电话／传真等远程方式排除故障时，工程师</w:t>
            </w:r>
            <w:r>
              <w:rPr>
                <w:rFonts w:hint="eastAsia" w:ascii="宋体" w:hAnsi="宋体" w:eastAsia="宋体" w:cs="宋体"/>
                <w:color w:val="auto"/>
                <w:kern w:val="0"/>
                <w:sz w:val="21"/>
                <w:szCs w:val="21"/>
                <w:highlight w:val="none"/>
                <w:lang w:val="en-US" w:eastAsia="zh-CN"/>
              </w:rPr>
              <w:t>未</w:t>
            </w:r>
            <w:r>
              <w:rPr>
                <w:rFonts w:hint="eastAsia" w:ascii="宋体" w:hAnsi="宋体" w:eastAsia="宋体" w:cs="宋体"/>
                <w:color w:val="auto"/>
                <w:kern w:val="0"/>
                <w:sz w:val="21"/>
                <w:szCs w:val="21"/>
                <w:highlight w:val="none"/>
              </w:rPr>
              <w:t>在24小时内到达现场，</w:t>
            </w:r>
            <w:r>
              <w:rPr>
                <w:rFonts w:hint="eastAsia" w:ascii="宋体" w:hAnsi="宋体" w:eastAsia="宋体" w:cs="宋体"/>
                <w:color w:val="auto"/>
                <w:kern w:val="0"/>
                <w:sz w:val="21"/>
                <w:szCs w:val="21"/>
                <w:highlight w:val="none"/>
                <w:lang w:val="en-US" w:eastAsia="zh-CN"/>
              </w:rPr>
              <w:t>扣10分；未在48小时内到达现场，</w:t>
            </w:r>
            <w:r>
              <w:rPr>
                <w:rFonts w:hint="eastAsia" w:ascii="宋体" w:hAnsi="宋体" w:eastAsia="宋体" w:cs="宋体"/>
                <w:color w:val="auto"/>
                <w:kern w:val="0"/>
                <w:sz w:val="21"/>
                <w:szCs w:val="21"/>
                <w:highlight w:val="none"/>
              </w:rPr>
              <w:t>此项得0分。</w:t>
            </w:r>
          </w:p>
          <w:p w14:paraId="4311D8F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D:不需更换配件的调试工作在报修之日起计5个工作日内完成，遇重大维修在报修之日起计12个工作日内完成，否则此项得0分。</w:t>
            </w:r>
          </w:p>
        </w:tc>
        <w:tc>
          <w:tcPr>
            <w:tcW w:w="765" w:type="dxa"/>
            <w:tcBorders>
              <w:top w:val="single" w:color="auto" w:sz="4" w:space="0"/>
              <w:left w:val="nil"/>
              <w:bottom w:val="single" w:color="auto" w:sz="4" w:space="0"/>
              <w:right w:val="single" w:color="auto" w:sz="4" w:space="0"/>
            </w:tcBorders>
            <w:noWrap w:val="0"/>
            <w:vAlign w:val="center"/>
          </w:tcPr>
          <w:p w14:paraId="3A39B7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维修单</w:t>
            </w:r>
          </w:p>
        </w:tc>
        <w:tc>
          <w:tcPr>
            <w:tcW w:w="1905" w:type="dxa"/>
            <w:tcBorders>
              <w:top w:val="single" w:color="auto" w:sz="4" w:space="0"/>
              <w:left w:val="nil"/>
              <w:bottom w:val="single" w:color="auto" w:sz="4" w:space="0"/>
              <w:right w:val="single" w:color="auto" w:sz="4" w:space="0"/>
            </w:tcBorders>
            <w:noWrap w:val="0"/>
            <w:vAlign w:val="center"/>
          </w:tcPr>
          <w:p w14:paraId="6B7227F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该项数据来源为报修联与反馈联上面</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部门的确认时间差计算。</w:t>
            </w:r>
          </w:p>
        </w:tc>
        <w:tc>
          <w:tcPr>
            <w:tcW w:w="675" w:type="dxa"/>
            <w:tcBorders>
              <w:top w:val="single" w:color="auto" w:sz="4" w:space="0"/>
              <w:left w:val="nil"/>
              <w:bottom w:val="single" w:color="auto" w:sz="4" w:space="0"/>
              <w:right w:val="single" w:color="auto" w:sz="4" w:space="0"/>
            </w:tcBorders>
            <w:noWrap/>
            <w:vAlign w:val="center"/>
          </w:tcPr>
          <w:p w14:paraId="607DBDD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A8D4BB0">
        <w:tblPrEx>
          <w:tblCellMar>
            <w:top w:w="0" w:type="dxa"/>
            <w:left w:w="108" w:type="dxa"/>
            <w:bottom w:w="0" w:type="dxa"/>
            <w:right w:w="108" w:type="dxa"/>
          </w:tblCellMar>
        </w:tblPrEx>
        <w:trPr>
          <w:trHeight w:val="948" w:hRule="atLeast"/>
          <w:jc w:val="center"/>
        </w:trPr>
        <w:tc>
          <w:tcPr>
            <w:tcW w:w="490" w:type="dxa"/>
            <w:tcBorders>
              <w:top w:val="nil"/>
              <w:left w:val="single" w:color="auto" w:sz="4" w:space="0"/>
              <w:bottom w:val="single" w:color="auto" w:sz="4" w:space="0"/>
              <w:right w:val="single" w:color="auto" w:sz="4" w:space="0"/>
            </w:tcBorders>
            <w:noWrap w:val="0"/>
            <w:vAlign w:val="center"/>
          </w:tcPr>
          <w:p w14:paraId="2F034F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00" w:type="dxa"/>
            <w:tcBorders>
              <w:top w:val="nil"/>
              <w:left w:val="single" w:color="auto" w:sz="4" w:space="0"/>
              <w:bottom w:val="single" w:color="auto" w:sz="4" w:space="0"/>
              <w:right w:val="single" w:color="auto" w:sz="4" w:space="0"/>
            </w:tcBorders>
            <w:noWrap w:val="0"/>
            <w:vAlign w:val="center"/>
          </w:tcPr>
          <w:p w14:paraId="323A71D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维修效果</w:t>
            </w:r>
          </w:p>
        </w:tc>
        <w:tc>
          <w:tcPr>
            <w:tcW w:w="683" w:type="dxa"/>
            <w:tcBorders>
              <w:top w:val="nil"/>
              <w:left w:val="nil"/>
              <w:bottom w:val="single" w:color="auto" w:sz="4" w:space="0"/>
              <w:right w:val="single" w:color="auto" w:sz="4" w:space="0"/>
            </w:tcBorders>
            <w:noWrap w:val="0"/>
            <w:vAlign w:val="center"/>
          </w:tcPr>
          <w:p w14:paraId="320ACC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4017" w:type="dxa"/>
            <w:tcBorders>
              <w:top w:val="nil"/>
              <w:left w:val="nil"/>
              <w:bottom w:val="single" w:color="auto" w:sz="4" w:space="0"/>
              <w:right w:val="single" w:color="auto" w:sz="4" w:space="0"/>
            </w:tcBorders>
            <w:noWrap w:val="0"/>
            <w:vAlign w:val="center"/>
          </w:tcPr>
          <w:p w14:paraId="2714BBE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一台设备同一故障点，1个月内</w:t>
            </w:r>
            <w:r>
              <w:rPr>
                <w:rFonts w:hint="eastAsia" w:ascii="宋体" w:hAnsi="宋体" w:eastAsia="宋体" w:cs="宋体"/>
                <w:color w:val="auto"/>
                <w:kern w:val="0"/>
                <w:sz w:val="21"/>
                <w:szCs w:val="21"/>
                <w:highlight w:val="none"/>
                <w:lang w:eastAsia="zh-CN"/>
              </w:rPr>
              <w:t>再次</w:t>
            </w:r>
            <w:r>
              <w:rPr>
                <w:rFonts w:hint="eastAsia" w:ascii="宋体" w:hAnsi="宋体" w:eastAsia="宋体" w:cs="宋体"/>
                <w:color w:val="auto"/>
                <w:kern w:val="0"/>
                <w:sz w:val="21"/>
                <w:szCs w:val="21"/>
                <w:highlight w:val="none"/>
              </w:rPr>
              <w:t>发生，扣</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连续发生3次，</w:t>
            </w:r>
            <w:r>
              <w:rPr>
                <w:rFonts w:hint="eastAsia" w:ascii="宋体" w:hAnsi="宋体" w:eastAsia="宋体" w:cs="宋体"/>
                <w:color w:val="auto"/>
                <w:kern w:val="0"/>
                <w:sz w:val="21"/>
                <w:szCs w:val="21"/>
                <w:highlight w:val="none"/>
                <w:lang w:eastAsia="zh-CN"/>
              </w:rPr>
              <w:t>扣</w:t>
            </w:r>
            <w:r>
              <w:rPr>
                <w:rFonts w:hint="eastAsia" w:ascii="宋体" w:hAnsi="宋体" w:eastAsia="宋体" w:cs="宋体"/>
                <w:color w:val="auto"/>
                <w:kern w:val="0"/>
                <w:sz w:val="21"/>
                <w:szCs w:val="21"/>
                <w:highlight w:val="none"/>
                <w:lang w:val="en-US" w:eastAsia="zh-CN"/>
              </w:rPr>
              <w:t>5分；连续发生4次，</w:t>
            </w:r>
            <w:r>
              <w:rPr>
                <w:rFonts w:hint="eastAsia" w:ascii="宋体" w:hAnsi="宋体" w:eastAsia="宋体" w:cs="宋体"/>
                <w:color w:val="auto"/>
                <w:kern w:val="0"/>
                <w:sz w:val="21"/>
                <w:szCs w:val="21"/>
                <w:highlight w:val="none"/>
              </w:rPr>
              <w:t>此项得0分。</w:t>
            </w:r>
            <w:r>
              <w:rPr>
                <w:rFonts w:hint="eastAsia" w:ascii="宋体" w:hAnsi="宋体" w:eastAsia="宋体" w:cs="宋体"/>
                <w:color w:val="auto"/>
                <w:kern w:val="0"/>
                <w:sz w:val="21"/>
                <w:szCs w:val="21"/>
                <w:highlight w:val="none"/>
              </w:rPr>
              <w:br w:type="textWrapping"/>
            </w:r>
          </w:p>
        </w:tc>
        <w:tc>
          <w:tcPr>
            <w:tcW w:w="765" w:type="dxa"/>
            <w:tcBorders>
              <w:top w:val="nil"/>
              <w:left w:val="nil"/>
              <w:bottom w:val="single" w:color="auto" w:sz="4" w:space="0"/>
              <w:right w:val="single" w:color="auto" w:sz="4" w:space="0"/>
            </w:tcBorders>
            <w:noWrap w:val="0"/>
            <w:vAlign w:val="center"/>
          </w:tcPr>
          <w:p w14:paraId="249B4D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维修单</w:t>
            </w:r>
          </w:p>
        </w:tc>
        <w:tc>
          <w:tcPr>
            <w:tcW w:w="1905" w:type="dxa"/>
            <w:tcBorders>
              <w:top w:val="nil"/>
              <w:left w:val="nil"/>
              <w:bottom w:val="single" w:color="auto" w:sz="4" w:space="0"/>
              <w:right w:val="single" w:color="auto" w:sz="4" w:space="0"/>
            </w:tcBorders>
            <w:noWrap w:val="0"/>
            <w:vAlign w:val="center"/>
          </w:tcPr>
          <w:p w14:paraId="78117C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每次维修由</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部门在反馈联上填写。</w:t>
            </w:r>
          </w:p>
        </w:tc>
        <w:tc>
          <w:tcPr>
            <w:tcW w:w="675" w:type="dxa"/>
            <w:tcBorders>
              <w:top w:val="nil"/>
              <w:left w:val="nil"/>
              <w:bottom w:val="single" w:color="auto" w:sz="4" w:space="0"/>
              <w:right w:val="single" w:color="auto" w:sz="4" w:space="0"/>
            </w:tcBorders>
            <w:noWrap/>
            <w:vAlign w:val="center"/>
          </w:tcPr>
          <w:p w14:paraId="48F66BD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5776658">
        <w:tblPrEx>
          <w:tblCellMar>
            <w:top w:w="0" w:type="dxa"/>
            <w:left w:w="108" w:type="dxa"/>
            <w:bottom w:w="0" w:type="dxa"/>
            <w:right w:w="108" w:type="dxa"/>
          </w:tblCellMar>
        </w:tblPrEx>
        <w:trPr>
          <w:trHeight w:val="1080" w:hRule="atLeast"/>
          <w:jc w:val="center"/>
        </w:trPr>
        <w:tc>
          <w:tcPr>
            <w:tcW w:w="490" w:type="dxa"/>
            <w:tcBorders>
              <w:top w:val="nil"/>
              <w:left w:val="single" w:color="auto" w:sz="4" w:space="0"/>
              <w:bottom w:val="single" w:color="auto" w:sz="4" w:space="0"/>
              <w:right w:val="single" w:color="auto" w:sz="4" w:space="0"/>
            </w:tcBorders>
            <w:noWrap w:val="0"/>
            <w:vAlign w:val="center"/>
          </w:tcPr>
          <w:p w14:paraId="23E128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00" w:type="dxa"/>
            <w:tcBorders>
              <w:top w:val="nil"/>
              <w:left w:val="single" w:color="auto" w:sz="4" w:space="0"/>
              <w:bottom w:val="single" w:color="auto" w:sz="4" w:space="0"/>
              <w:right w:val="single" w:color="auto" w:sz="4" w:space="0"/>
            </w:tcBorders>
            <w:noWrap w:val="0"/>
            <w:vAlign w:val="center"/>
          </w:tcPr>
          <w:p w14:paraId="1DC34C9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工作影响</w:t>
            </w:r>
          </w:p>
        </w:tc>
        <w:tc>
          <w:tcPr>
            <w:tcW w:w="683" w:type="dxa"/>
            <w:tcBorders>
              <w:top w:val="nil"/>
              <w:left w:val="nil"/>
              <w:bottom w:val="single" w:color="auto" w:sz="4" w:space="0"/>
              <w:right w:val="single" w:color="auto" w:sz="4" w:space="0"/>
            </w:tcBorders>
            <w:noWrap w:val="0"/>
            <w:vAlign w:val="center"/>
          </w:tcPr>
          <w:p w14:paraId="2D4A55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4017" w:type="dxa"/>
            <w:tcBorders>
              <w:top w:val="nil"/>
              <w:left w:val="nil"/>
              <w:bottom w:val="single" w:color="auto" w:sz="4" w:space="0"/>
              <w:right w:val="single" w:color="auto" w:sz="4" w:space="0"/>
            </w:tcBorders>
            <w:noWrap w:val="0"/>
            <w:vAlign w:val="center"/>
          </w:tcPr>
          <w:p w14:paraId="4B2F9B1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因维修不及时或拖延时间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参照第一项维修及时性考核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，每延误工作开展</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天</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扣</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，以此类推，</w:t>
            </w:r>
            <w:r>
              <w:rPr>
                <w:rFonts w:hint="eastAsia" w:ascii="宋体" w:hAnsi="宋体" w:eastAsia="宋体" w:cs="宋体"/>
                <w:color w:val="auto"/>
                <w:kern w:val="0"/>
                <w:sz w:val="21"/>
                <w:szCs w:val="21"/>
                <w:highlight w:val="none"/>
                <w:lang w:val="en-US" w:eastAsia="zh-CN"/>
              </w:rPr>
              <w:t>扣完为止</w:t>
            </w:r>
            <w:r>
              <w:rPr>
                <w:rFonts w:hint="eastAsia" w:ascii="宋体" w:hAnsi="宋体" w:eastAsia="宋体" w:cs="宋体"/>
                <w:color w:val="auto"/>
                <w:kern w:val="0"/>
                <w:sz w:val="21"/>
                <w:szCs w:val="21"/>
                <w:highlight w:val="none"/>
              </w:rPr>
              <w:t>。</w:t>
            </w:r>
          </w:p>
        </w:tc>
        <w:tc>
          <w:tcPr>
            <w:tcW w:w="765" w:type="dxa"/>
            <w:tcBorders>
              <w:top w:val="nil"/>
              <w:left w:val="nil"/>
              <w:bottom w:val="single" w:color="auto" w:sz="4" w:space="0"/>
              <w:right w:val="single" w:color="auto" w:sz="4" w:space="0"/>
            </w:tcBorders>
            <w:noWrap w:val="0"/>
            <w:vAlign w:val="center"/>
          </w:tcPr>
          <w:p w14:paraId="1F5A6B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维修单</w:t>
            </w:r>
          </w:p>
        </w:tc>
        <w:tc>
          <w:tcPr>
            <w:tcW w:w="1905" w:type="dxa"/>
            <w:tcBorders>
              <w:top w:val="nil"/>
              <w:left w:val="nil"/>
              <w:bottom w:val="single" w:color="auto" w:sz="4" w:space="0"/>
              <w:right w:val="single" w:color="auto" w:sz="4" w:space="0"/>
            </w:tcBorders>
            <w:noWrap w:val="0"/>
            <w:vAlign w:val="center"/>
          </w:tcPr>
          <w:p w14:paraId="5BFA37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该项数据来源为反馈联上面</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部门的确认时间差计算。</w:t>
            </w:r>
          </w:p>
        </w:tc>
        <w:tc>
          <w:tcPr>
            <w:tcW w:w="675" w:type="dxa"/>
            <w:tcBorders>
              <w:top w:val="nil"/>
              <w:left w:val="nil"/>
              <w:bottom w:val="single" w:color="auto" w:sz="4" w:space="0"/>
              <w:right w:val="single" w:color="auto" w:sz="4" w:space="0"/>
            </w:tcBorders>
            <w:noWrap/>
            <w:vAlign w:val="center"/>
          </w:tcPr>
          <w:p w14:paraId="49219C2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4E7E934">
        <w:tblPrEx>
          <w:tblCellMar>
            <w:top w:w="0" w:type="dxa"/>
            <w:left w:w="108" w:type="dxa"/>
            <w:bottom w:w="0" w:type="dxa"/>
            <w:right w:w="108" w:type="dxa"/>
          </w:tblCellMar>
        </w:tblPrEx>
        <w:trPr>
          <w:trHeight w:val="987" w:hRule="atLeast"/>
          <w:jc w:val="center"/>
        </w:trPr>
        <w:tc>
          <w:tcPr>
            <w:tcW w:w="490" w:type="dxa"/>
            <w:tcBorders>
              <w:top w:val="nil"/>
              <w:left w:val="single" w:color="auto" w:sz="4" w:space="0"/>
              <w:bottom w:val="single" w:color="auto" w:sz="4" w:space="0"/>
              <w:right w:val="single" w:color="auto" w:sz="4" w:space="0"/>
            </w:tcBorders>
            <w:noWrap w:val="0"/>
            <w:vAlign w:val="center"/>
          </w:tcPr>
          <w:p w14:paraId="187CF2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500" w:type="dxa"/>
            <w:tcBorders>
              <w:top w:val="nil"/>
              <w:left w:val="single" w:color="auto" w:sz="4" w:space="0"/>
              <w:bottom w:val="single" w:color="auto" w:sz="4" w:space="0"/>
              <w:right w:val="single" w:color="auto" w:sz="4" w:space="0"/>
            </w:tcBorders>
            <w:noWrap w:val="0"/>
            <w:vAlign w:val="center"/>
          </w:tcPr>
          <w:p w14:paraId="2CB3088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设备保养</w:t>
            </w:r>
          </w:p>
        </w:tc>
        <w:tc>
          <w:tcPr>
            <w:tcW w:w="683" w:type="dxa"/>
            <w:tcBorders>
              <w:top w:val="nil"/>
              <w:left w:val="nil"/>
              <w:bottom w:val="single" w:color="auto" w:sz="4" w:space="0"/>
              <w:right w:val="single" w:color="auto" w:sz="4" w:space="0"/>
            </w:tcBorders>
            <w:noWrap w:val="0"/>
            <w:vAlign w:val="center"/>
          </w:tcPr>
          <w:p w14:paraId="71F4A5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4017" w:type="dxa"/>
            <w:tcBorders>
              <w:top w:val="nil"/>
              <w:left w:val="nil"/>
              <w:bottom w:val="single" w:color="auto" w:sz="4" w:space="0"/>
              <w:right w:val="single" w:color="auto" w:sz="4" w:space="0"/>
            </w:tcBorders>
            <w:noWrap w:val="0"/>
            <w:vAlign w:val="center"/>
          </w:tcPr>
          <w:p w14:paraId="403830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设备正常使用情况下，未按规定周期进行设备保养，</w:t>
            </w:r>
            <w:r>
              <w:rPr>
                <w:rFonts w:hint="eastAsia" w:ascii="宋体" w:hAnsi="宋体" w:eastAsia="宋体" w:cs="宋体"/>
                <w:color w:val="auto"/>
                <w:kern w:val="0"/>
                <w:sz w:val="21"/>
                <w:szCs w:val="21"/>
                <w:highlight w:val="none"/>
                <w:lang w:eastAsia="zh-CN"/>
              </w:rPr>
              <w:t>每次扣</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 弄虚作假，该项不得分。维修保养记录</w:t>
            </w:r>
            <w:r>
              <w:rPr>
                <w:rFonts w:hint="eastAsia" w:ascii="宋体" w:hAnsi="宋体" w:eastAsia="宋体" w:cs="宋体"/>
                <w:color w:val="auto"/>
                <w:kern w:val="0"/>
                <w:sz w:val="21"/>
                <w:szCs w:val="21"/>
                <w:highlight w:val="none"/>
                <w:lang w:eastAsia="zh-CN"/>
              </w:rPr>
              <w:t>一周内未</w:t>
            </w:r>
            <w:r>
              <w:rPr>
                <w:rFonts w:hint="eastAsia" w:ascii="宋体" w:hAnsi="宋体" w:eastAsia="宋体" w:cs="宋体"/>
                <w:color w:val="auto"/>
                <w:kern w:val="0"/>
                <w:sz w:val="21"/>
                <w:szCs w:val="21"/>
                <w:highlight w:val="none"/>
              </w:rPr>
              <w:t>交给设备</w:t>
            </w:r>
            <w:r>
              <w:rPr>
                <w:rFonts w:hint="eastAsia" w:ascii="宋体" w:hAnsi="宋体" w:eastAsia="宋体" w:cs="宋体"/>
                <w:color w:val="auto"/>
                <w:kern w:val="0"/>
                <w:sz w:val="21"/>
                <w:szCs w:val="21"/>
                <w:highlight w:val="none"/>
                <w:lang w:val="en-US" w:eastAsia="zh-CN"/>
              </w:rPr>
              <w:t>耗材</w:t>
            </w:r>
            <w:r>
              <w:rPr>
                <w:rFonts w:hint="eastAsia" w:ascii="宋体" w:hAnsi="宋体" w:eastAsia="宋体" w:cs="宋体"/>
                <w:color w:val="auto"/>
                <w:kern w:val="0"/>
                <w:sz w:val="21"/>
                <w:szCs w:val="21"/>
                <w:highlight w:val="none"/>
              </w:rPr>
              <w:t>科分管工程师，</w:t>
            </w:r>
            <w:r>
              <w:rPr>
                <w:rFonts w:hint="eastAsia" w:ascii="宋体" w:hAnsi="宋体" w:eastAsia="宋体" w:cs="宋体"/>
                <w:color w:val="auto"/>
                <w:kern w:val="0"/>
                <w:sz w:val="21"/>
                <w:szCs w:val="21"/>
                <w:highlight w:val="none"/>
                <w:lang w:eastAsia="zh-CN"/>
              </w:rPr>
              <w:t>每次扣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tc>
        <w:tc>
          <w:tcPr>
            <w:tcW w:w="765" w:type="dxa"/>
            <w:tcBorders>
              <w:top w:val="nil"/>
              <w:left w:val="nil"/>
              <w:bottom w:val="single" w:color="auto" w:sz="4" w:space="0"/>
              <w:right w:val="single" w:color="auto" w:sz="4" w:space="0"/>
            </w:tcBorders>
            <w:noWrap w:val="0"/>
            <w:vAlign w:val="center"/>
          </w:tcPr>
          <w:p w14:paraId="7EBE96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设备保养记录表</w:t>
            </w:r>
          </w:p>
        </w:tc>
        <w:tc>
          <w:tcPr>
            <w:tcW w:w="1905" w:type="dxa"/>
            <w:tcBorders>
              <w:top w:val="nil"/>
              <w:left w:val="nil"/>
              <w:bottom w:val="single" w:color="auto" w:sz="4" w:space="0"/>
              <w:right w:val="single" w:color="auto" w:sz="4" w:space="0"/>
            </w:tcBorders>
            <w:noWrap w:val="0"/>
            <w:vAlign w:val="center"/>
          </w:tcPr>
          <w:p w14:paraId="3687898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查看设备保养记录表</w:t>
            </w:r>
          </w:p>
        </w:tc>
        <w:tc>
          <w:tcPr>
            <w:tcW w:w="675" w:type="dxa"/>
            <w:tcBorders>
              <w:top w:val="nil"/>
              <w:left w:val="nil"/>
              <w:bottom w:val="single" w:color="auto" w:sz="4" w:space="0"/>
              <w:right w:val="single" w:color="auto" w:sz="4" w:space="0"/>
            </w:tcBorders>
            <w:noWrap/>
            <w:vAlign w:val="center"/>
          </w:tcPr>
          <w:p w14:paraId="62859E2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8D1F8F6">
        <w:tblPrEx>
          <w:tblCellMar>
            <w:top w:w="0" w:type="dxa"/>
            <w:left w:w="108" w:type="dxa"/>
            <w:bottom w:w="0" w:type="dxa"/>
            <w:right w:w="108" w:type="dxa"/>
          </w:tblCellMar>
        </w:tblPrEx>
        <w:trPr>
          <w:trHeight w:val="1125" w:hRule="atLeast"/>
          <w:jc w:val="center"/>
        </w:trPr>
        <w:tc>
          <w:tcPr>
            <w:tcW w:w="490" w:type="dxa"/>
            <w:tcBorders>
              <w:top w:val="nil"/>
              <w:left w:val="single" w:color="auto" w:sz="4" w:space="0"/>
              <w:bottom w:val="single" w:color="auto" w:sz="4" w:space="0"/>
              <w:right w:val="single" w:color="auto" w:sz="4" w:space="0"/>
            </w:tcBorders>
            <w:noWrap w:val="0"/>
            <w:vAlign w:val="center"/>
          </w:tcPr>
          <w:p w14:paraId="451CAC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00" w:type="dxa"/>
            <w:tcBorders>
              <w:top w:val="nil"/>
              <w:left w:val="single" w:color="auto" w:sz="4" w:space="0"/>
              <w:bottom w:val="single" w:color="auto" w:sz="4" w:space="0"/>
              <w:right w:val="single" w:color="auto" w:sz="4" w:space="0"/>
            </w:tcBorders>
            <w:noWrap w:val="0"/>
            <w:vAlign w:val="center"/>
          </w:tcPr>
          <w:p w14:paraId="4ECD16E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维修现场5S</w:t>
            </w:r>
          </w:p>
        </w:tc>
        <w:tc>
          <w:tcPr>
            <w:tcW w:w="683" w:type="dxa"/>
            <w:tcBorders>
              <w:top w:val="nil"/>
              <w:left w:val="nil"/>
              <w:bottom w:val="single" w:color="auto" w:sz="4" w:space="0"/>
              <w:right w:val="single" w:color="auto" w:sz="4" w:space="0"/>
            </w:tcBorders>
            <w:noWrap w:val="0"/>
            <w:vAlign w:val="center"/>
          </w:tcPr>
          <w:p w14:paraId="5E209D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017" w:type="dxa"/>
            <w:tcBorders>
              <w:top w:val="nil"/>
              <w:left w:val="nil"/>
              <w:bottom w:val="single" w:color="auto" w:sz="4" w:space="0"/>
              <w:right w:val="single" w:color="auto" w:sz="4" w:space="0"/>
            </w:tcBorders>
            <w:noWrap w:val="0"/>
            <w:vAlign w:val="center"/>
          </w:tcPr>
          <w:p w14:paraId="25D3456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维修后，存有安全隐患，该项不得分。现场地面清洁干净，无污渍垃圾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发现卫生问题1次扣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tc>
        <w:tc>
          <w:tcPr>
            <w:tcW w:w="765" w:type="dxa"/>
            <w:tcBorders>
              <w:top w:val="nil"/>
              <w:left w:val="nil"/>
              <w:bottom w:val="single" w:color="auto" w:sz="4" w:space="0"/>
              <w:right w:val="single" w:color="auto" w:sz="4" w:space="0"/>
            </w:tcBorders>
            <w:noWrap w:val="0"/>
            <w:vAlign w:val="center"/>
          </w:tcPr>
          <w:p w14:paraId="0D332F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维修单</w:t>
            </w:r>
          </w:p>
        </w:tc>
        <w:tc>
          <w:tcPr>
            <w:tcW w:w="1905" w:type="dxa"/>
            <w:tcBorders>
              <w:top w:val="nil"/>
              <w:left w:val="nil"/>
              <w:bottom w:val="single" w:color="auto" w:sz="4" w:space="0"/>
              <w:right w:val="single" w:color="auto" w:sz="4" w:space="0"/>
            </w:tcBorders>
            <w:noWrap w:val="0"/>
            <w:vAlign w:val="center"/>
          </w:tcPr>
          <w:p w14:paraId="5A309CF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每次维修后由</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部门在反馈联上据实填写。</w:t>
            </w:r>
          </w:p>
        </w:tc>
        <w:tc>
          <w:tcPr>
            <w:tcW w:w="675" w:type="dxa"/>
            <w:tcBorders>
              <w:top w:val="nil"/>
              <w:left w:val="nil"/>
              <w:bottom w:val="single" w:color="auto" w:sz="4" w:space="0"/>
              <w:right w:val="single" w:color="auto" w:sz="4" w:space="0"/>
            </w:tcBorders>
            <w:noWrap/>
            <w:vAlign w:val="center"/>
          </w:tcPr>
          <w:p w14:paraId="0C44BEA1">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F286AE9">
        <w:tblPrEx>
          <w:tblCellMar>
            <w:top w:w="0" w:type="dxa"/>
            <w:left w:w="108" w:type="dxa"/>
            <w:bottom w:w="0" w:type="dxa"/>
            <w:right w:w="108" w:type="dxa"/>
          </w:tblCellMar>
        </w:tblPrEx>
        <w:trPr>
          <w:trHeight w:val="1230" w:hRule="atLeast"/>
          <w:jc w:val="center"/>
        </w:trPr>
        <w:tc>
          <w:tcPr>
            <w:tcW w:w="490" w:type="dxa"/>
            <w:tcBorders>
              <w:top w:val="nil"/>
              <w:left w:val="single" w:color="auto" w:sz="4" w:space="0"/>
              <w:bottom w:val="single" w:color="auto" w:sz="4" w:space="0"/>
              <w:right w:val="single" w:color="auto" w:sz="4" w:space="0"/>
            </w:tcBorders>
            <w:noWrap w:val="0"/>
            <w:vAlign w:val="center"/>
          </w:tcPr>
          <w:p w14:paraId="245CE4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500" w:type="dxa"/>
            <w:tcBorders>
              <w:top w:val="nil"/>
              <w:left w:val="single" w:color="auto" w:sz="4" w:space="0"/>
              <w:bottom w:val="single" w:color="auto" w:sz="4" w:space="0"/>
              <w:right w:val="single" w:color="auto" w:sz="4" w:space="0"/>
            </w:tcBorders>
            <w:noWrap w:val="0"/>
            <w:vAlign w:val="center"/>
          </w:tcPr>
          <w:p w14:paraId="340EE48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部门评价</w:t>
            </w:r>
          </w:p>
        </w:tc>
        <w:tc>
          <w:tcPr>
            <w:tcW w:w="683" w:type="dxa"/>
            <w:tcBorders>
              <w:top w:val="nil"/>
              <w:left w:val="nil"/>
              <w:bottom w:val="single" w:color="auto" w:sz="4" w:space="0"/>
              <w:right w:val="single" w:color="auto" w:sz="4" w:space="0"/>
            </w:tcBorders>
            <w:noWrap w:val="0"/>
            <w:vAlign w:val="center"/>
          </w:tcPr>
          <w:p w14:paraId="084A82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017" w:type="dxa"/>
            <w:tcBorders>
              <w:top w:val="nil"/>
              <w:left w:val="nil"/>
              <w:bottom w:val="single" w:color="auto" w:sz="4" w:space="0"/>
              <w:right w:val="single" w:color="auto" w:sz="4" w:space="0"/>
            </w:tcBorders>
            <w:noWrap w:val="0"/>
            <w:vAlign w:val="center"/>
          </w:tcPr>
          <w:p w14:paraId="742844A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A.</w:t>
            </w:r>
            <w:r>
              <w:rPr>
                <w:rFonts w:hint="eastAsia" w:ascii="宋体" w:hAnsi="宋体" w:eastAsia="宋体" w:cs="宋体"/>
                <w:color w:val="auto"/>
                <w:kern w:val="0"/>
                <w:sz w:val="21"/>
                <w:szCs w:val="21"/>
                <w:highlight w:val="none"/>
                <w:lang w:eastAsia="zh-CN"/>
              </w:rPr>
              <w:t>非常满意</w:t>
            </w:r>
            <w:r>
              <w:rPr>
                <w:rFonts w:hint="eastAsia" w:ascii="宋体" w:hAnsi="宋体" w:eastAsia="宋体" w:cs="宋体"/>
                <w:color w:val="auto"/>
                <w:kern w:val="0"/>
                <w:sz w:val="21"/>
                <w:szCs w:val="21"/>
                <w:highlight w:val="none"/>
                <w:lang w:val="en-US" w:eastAsia="zh-CN"/>
              </w:rPr>
              <w:t>10分；B.满意8分；C.一般6分；D.不满意3分</w:t>
            </w:r>
            <w:r>
              <w:rPr>
                <w:rFonts w:hint="eastAsia" w:ascii="宋体" w:hAnsi="宋体" w:eastAsia="宋体" w:cs="宋体"/>
                <w:color w:val="auto"/>
                <w:kern w:val="0"/>
                <w:sz w:val="21"/>
                <w:szCs w:val="21"/>
                <w:highlight w:val="none"/>
              </w:rPr>
              <w:t>。</w:t>
            </w:r>
          </w:p>
        </w:tc>
        <w:tc>
          <w:tcPr>
            <w:tcW w:w="765" w:type="dxa"/>
            <w:tcBorders>
              <w:top w:val="nil"/>
              <w:left w:val="nil"/>
              <w:bottom w:val="single" w:color="auto" w:sz="4" w:space="0"/>
              <w:right w:val="single" w:color="auto" w:sz="4" w:space="0"/>
            </w:tcBorders>
            <w:noWrap w:val="0"/>
            <w:vAlign w:val="center"/>
          </w:tcPr>
          <w:p w14:paraId="5C21CD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维修单</w:t>
            </w:r>
          </w:p>
        </w:tc>
        <w:tc>
          <w:tcPr>
            <w:tcW w:w="1905" w:type="dxa"/>
            <w:tcBorders>
              <w:top w:val="nil"/>
              <w:left w:val="nil"/>
              <w:bottom w:val="single" w:color="auto" w:sz="4" w:space="0"/>
              <w:right w:val="single" w:color="auto" w:sz="4" w:space="0"/>
            </w:tcBorders>
            <w:noWrap w:val="0"/>
            <w:vAlign w:val="center"/>
          </w:tcPr>
          <w:p w14:paraId="69A17C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每次维修过程由</w:t>
            </w:r>
            <w:r>
              <w:rPr>
                <w:rFonts w:hint="eastAsia" w:ascii="宋体" w:hAnsi="宋体" w:eastAsia="宋体" w:cs="宋体"/>
                <w:color w:val="auto"/>
                <w:kern w:val="0"/>
                <w:sz w:val="21"/>
                <w:szCs w:val="21"/>
                <w:highlight w:val="none"/>
                <w:lang w:eastAsia="zh-CN"/>
              </w:rPr>
              <w:t>使用</w:t>
            </w:r>
            <w:r>
              <w:rPr>
                <w:rFonts w:hint="eastAsia" w:ascii="宋体" w:hAnsi="宋体" w:eastAsia="宋体" w:cs="宋体"/>
                <w:color w:val="auto"/>
                <w:kern w:val="0"/>
                <w:sz w:val="21"/>
                <w:szCs w:val="21"/>
                <w:highlight w:val="none"/>
              </w:rPr>
              <w:t>部门对维修及时性、质量效果等在反馈联上评价。</w:t>
            </w:r>
          </w:p>
        </w:tc>
        <w:tc>
          <w:tcPr>
            <w:tcW w:w="675" w:type="dxa"/>
            <w:tcBorders>
              <w:top w:val="nil"/>
              <w:left w:val="nil"/>
              <w:bottom w:val="single" w:color="auto" w:sz="4" w:space="0"/>
              <w:right w:val="single" w:color="auto" w:sz="4" w:space="0"/>
            </w:tcBorders>
            <w:noWrap/>
            <w:vAlign w:val="center"/>
          </w:tcPr>
          <w:p w14:paraId="71DD531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F68B07C">
        <w:tblPrEx>
          <w:tblCellMar>
            <w:top w:w="0" w:type="dxa"/>
            <w:left w:w="108" w:type="dxa"/>
            <w:bottom w:w="0" w:type="dxa"/>
            <w:right w:w="108" w:type="dxa"/>
          </w:tblCellMar>
        </w:tblPrEx>
        <w:trPr>
          <w:trHeight w:val="312" w:hRule="atLeast"/>
          <w:jc w:val="center"/>
        </w:trPr>
        <w:tc>
          <w:tcPr>
            <w:tcW w:w="9360" w:type="dxa"/>
            <w:gridSpan w:val="6"/>
            <w:tcBorders>
              <w:top w:val="single" w:color="auto" w:sz="4" w:space="0"/>
              <w:left w:val="single" w:color="auto" w:sz="4" w:space="0"/>
              <w:bottom w:val="single" w:color="auto" w:sz="4" w:space="0"/>
              <w:right w:val="single" w:color="000000" w:sz="4" w:space="0"/>
            </w:tcBorders>
            <w:noWrap w:val="0"/>
            <w:vAlign w:val="center"/>
          </w:tcPr>
          <w:p w14:paraId="2C69EF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小       计</w:t>
            </w:r>
          </w:p>
        </w:tc>
        <w:tc>
          <w:tcPr>
            <w:tcW w:w="675" w:type="dxa"/>
            <w:tcBorders>
              <w:top w:val="nil"/>
              <w:left w:val="nil"/>
              <w:bottom w:val="single" w:color="auto" w:sz="4" w:space="0"/>
              <w:right w:val="single" w:color="auto" w:sz="4" w:space="0"/>
            </w:tcBorders>
            <w:noWrap/>
            <w:vAlign w:val="center"/>
          </w:tcPr>
          <w:p w14:paraId="00B070CC">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840BAFB">
        <w:tblPrEx>
          <w:tblCellMar>
            <w:top w:w="0" w:type="dxa"/>
            <w:left w:w="108" w:type="dxa"/>
            <w:bottom w:w="0" w:type="dxa"/>
            <w:right w:w="108" w:type="dxa"/>
          </w:tblCellMar>
        </w:tblPrEx>
        <w:trPr>
          <w:trHeight w:val="747" w:hRule="atLeast"/>
          <w:jc w:val="center"/>
        </w:trPr>
        <w:tc>
          <w:tcPr>
            <w:tcW w:w="10035" w:type="dxa"/>
            <w:gridSpan w:val="7"/>
            <w:tcBorders>
              <w:top w:val="single" w:color="auto" w:sz="4" w:space="0"/>
              <w:left w:val="single" w:color="auto" w:sz="4" w:space="0"/>
              <w:bottom w:val="single" w:color="auto" w:sz="4" w:space="0"/>
              <w:right w:val="single" w:color="auto" w:sz="4" w:space="0"/>
            </w:tcBorders>
            <w:noWrap/>
            <w:vAlign w:val="center"/>
          </w:tcPr>
          <w:p w14:paraId="5E55F01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设备管理部门签字：           设备使用部门</w:t>
            </w:r>
            <w:r>
              <w:rPr>
                <w:rFonts w:hint="eastAsia" w:ascii="宋体" w:hAnsi="宋体" w:eastAsia="宋体" w:cs="宋体"/>
                <w:color w:val="auto"/>
                <w:kern w:val="0"/>
                <w:sz w:val="21"/>
                <w:szCs w:val="21"/>
                <w:highlight w:val="none"/>
                <w:lang w:eastAsia="zh-CN"/>
              </w:rPr>
              <w:t>签字</w:t>
            </w:r>
            <w:r>
              <w:rPr>
                <w:rFonts w:hint="eastAsia" w:ascii="宋体" w:hAnsi="宋体" w:eastAsia="宋体" w:cs="宋体"/>
                <w:color w:val="auto"/>
                <w:kern w:val="0"/>
                <w:sz w:val="21"/>
                <w:szCs w:val="21"/>
                <w:highlight w:val="none"/>
              </w:rPr>
              <w:t>：          被考核公司签字：</w:t>
            </w:r>
          </w:p>
          <w:p w14:paraId="7DF77A6B">
            <w:pPr>
              <w:widowControl/>
              <w:ind w:firstLine="1260" w:firstLineChars="6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日期：</w:t>
            </w:r>
          </w:p>
        </w:tc>
      </w:tr>
    </w:tbl>
    <w:p w14:paraId="73BE71B8">
      <w:pPr>
        <w:keepNext w:val="0"/>
        <w:keepLines w:val="0"/>
        <w:pageBreakBefore w:val="0"/>
        <w:widowControl w:val="0"/>
        <w:numPr>
          <w:ilvl w:val="0"/>
          <w:numId w:val="0"/>
        </w:numPr>
        <w:kinsoku/>
        <w:wordWrap/>
        <w:overflowPunct/>
        <w:topLinePunct w:val="0"/>
        <w:bidi w:val="0"/>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不予扣罚。</w:t>
      </w:r>
    </w:p>
    <w:p w14:paraId="5C738ED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80分，</w:t>
      </w:r>
      <w:r>
        <w:rPr>
          <w:rFonts w:hint="eastAsia" w:ascii="宋体" w:hAnsi="宋体" w:eastAsia="宋体" w:cs="宋体"/>
          <w:spacing w:val="5"/>
          <w:kern w:val="2"/>
          <w:sz w:val="24"/>
          <w:szCs w:val="24"/>
          <w:lang w:val="en-US" w:eastAsia="zh-CN" w:bidi="ar"/>
        </w:rPr>
        <w:t>80分以下每低一分扣除本年度合同金额的3‰，罚款标准一般上限为本年度合同金额的3%。</w:t>
      </w:r>
    </w:p>
    <w:p w14:paraId="5304512E">
      <w:pPr>
        <w:pStyle w:val="13"/>
        <w:keepNext w:val="0"/>
        <w:keepLines w:val="0"/>
        <w:pageBreakBefore w:val="0"/>
        <w:widowControl w:val="0"/>
        <w:kinsoku/>
        <w:wordWrap/>
        <w:overflowPunct/>
        <w:topLinePunct w:val="0"/>
        <w:bidi w:val="0"/>
        <w:snapToGrid/>
        <w:spacing w:line="360" w:lineRule="exact"/>
        <w:ind w:firstLine="480" w:firstLineChars="200"/>
        <w:jc w:val="left"/>
        <w:textAlignment w:val="auto"/>
        <w:rPr>
          <w:rFonts w:hint="eastAsia" w:ascii="宋体" w:hAnsi="宋体" w:eastAsia="宋体" w:cs="宋体"/>
          <w:i w:val="0"/>
          <w:iCs w:val="0"/>
          <w:caps w:val="0"/>
          <w:color w:val="000000"/>
          <w:spacing w:val="0"/>
          <w:sz w:val="25"/>
          <w:szCs w:val="25"/>
          <w:shd w:val="clear" w:fill="FFFFFF"/>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70分，同时要求进行整改，连续两次整改不到位且经医院考核评定为“不合格”，则医院无需支付当期服务费并有权终止合同。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94579"/>
    <w:multiLevelType w:val="multilevel"/>
    <w:tmpl w:val="98694579"/>
    <w:lvl w:ilvl="0" w:tentative="0">
      <w:start w:val="1"/>
      <w:numFmt w:val="decimal"/>
      <w:lvlText w:val="%1)"/>
      <w:lvlJc w:val="left"/>
      <w:pPr>
        <w:ind w:left="282" w:hanging="282"/>
      </w:pPr>
      <w:rPr>
        <w:rFonts w:hint="default" w:ascii="Calibri" w:hAnsi="Calibri" w:cs="Times New Roman"/>
        <w:sz w:val="20"/>
        <w:szCs w:val="20"/>
      </w:rPr>
    </w:lvl>
    <w:lvl w:ilvl="1" w:tentative="0">
      <w:start w:val="1"/>
      <w:numFmt w:val="lowerLetter"/>
      <w:lvlText w:val="%2."/>
      <w:lvlJc w:val="left"/>
      <w:pPr>
        <w:tabs>
          <w:tab w:val="left" w:pos="840"/>
        </w:tabs>
        <w:ind w:left="840" w:hanging="420"/>
      </w:pPr>
    </w:lvl>
    <w:lvl w:ilvl="2" w:tentative="0">
      <w:start w:val="1"/>
      <w:numFmt w:val="lowerLetter"/>
      <w:lvlText w:val="%3)"/>
      <w:lvlJc w:val="left"/>
      <w:pPr>
        <w:tabs>
          <w:tab w:val="left" w:pos="1260"/>
        </w:tabs>
        <w:ind w:left="1260" w:hanging="420"/>
      </w:pPr>
    </w:lvl>
    <w:lvl w:ilvl="3" w:tentative="0">
      <w:start w:val="1"/>
      <w:numFmt w:val="lowerRoman"/>
      <w:lvlText w:val="%4."/>
      <w:lvlJc w:val="left"/>
      <w:pPr>
        <w:tabs>
          <w:tab w:val="left" w:pos="1680"/>
        </w:tabs>
        <w:ind w:left="1680" w:hanging="420"/>
      </w:pPr>
    </w:lvl>
    <w:lvl w:ilvl="4" w:tentative="0">
      <w:start w:val="1"/>
      <w:numFmt w:val="lowerRoman"/>
      <w:lvlText w:val="%5)"/>
      <w:lvlJc w:val="left"/>
      <w:pPr>
        <w:tabs>
          <w:tab w:val="left" w:pos="2100"/>
        </w:tabs>
        <w:ind w:left="2100" w:hanging="420"/>
      </w:pPr>
    </w:lvl>
    <w:lvl w:ilvl="5" w:tentative="0">
      <w:start w:val="1"/>
      <w:numFmt w:val="lowerLetter"/>
      <w:lvlText w:val="%6."/>
      <w:lvlJc w:val="left"/>
      <w:pPr>
        <w:tabs>
          <w:tab w:val="left" w:pos="2520"/>
        </w:tabs>
        <w:ind w:left="2520" w:hanging="420"/>
      </w:pPr>
    </w:lvl>
    <w:lvl w:ilvl="6" w:tentative="0">
      <w:start w:val="1"/>
      <w:numFmt w:val="lowerLetter"/>
      <w:lvlText w:val="%7)"/>
      <w:lvlJc w:val="left"/>
      <w:pPr>
        <w:tabs>
          <w:tab w:val="left" w:pos="2940"/>
        </w:tabs>
        <w:ind w:left="2940" w:hanging="420"/>
      </w:pPr>
    </w:lvl>
    <w:lvl w:ilvl="7" w:tentative="0">
      <w:start w:val="1"/>
      <w:numFmt w:val="lowerRoman"/>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
    <w:nsid w:val="CCA74EB2"/>
    <w:multiLevelType w:val="multilevel"/>
    <w:tmpl w:val="CCA74EB2"/>
    <w:lvl w:ilvl="0" w:tentative="0">
      <w:start w:val="1"/>
      <w:numFmt w:val="decimal"/>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5F2F1960"/>
    <w:multiLevelType w:val="singleLevel"/>
    <w:tmpl w:val="5F2F196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32A8"/>
    <w:rsid w:val="00E55605"/>
    <w:rsid w:val="04284945"/>
    <w:rsid w:val="0A6C5E96"/>
    <w:rsid w:val="18354553"/>
    <w:rsid w:val="264137F1"/>
    <w:rsid w:val="42212F8E"/>
    <w:rsid w:val="43E03173"/>
    <w:rsid w:val="446232A8"/>
    <w:rsid w:val="44AA0C47"/>
    <w:rsid w:val="56403F6F"/>
    <w:rsid w:val="56722F89"/>
    <w:rsid w:val="5F5923D9"/>
    <w:rsid w:val="762E2447"/>
    <w:rsid w:val="7751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Theme="minorEastAsia" w:cstheme="minorBidi"/>
    </w:rPr>
  </w:style>
  <w:style w:type="paragraph" w:styleId="3">
    <w:name w:val="toc 2"/>
    <w:basedOn w:val="1"/>
    <w:next w:val="1"/>
    <w:qFormat/>
    <w:uiPriority w:val="0"/>
    <w:pPr>
      <w:ind w:left="420" w:leftChars="200"/>
    </w:pPr>
  </w:style>
  <w:style w:type="paragraph" w:styleId="4">
    <w:name w:val="Normal Indent"/>
    <w:basedOn w:val="1"/>
    <w:qFormat/>
    <w:uiPriority w:val="0"/>
    <w:pPr>
      <w:spacing w:line="240" w:lineRule="atLeast"/>
      <w:ind w:left="900" w:hanging="900"/>
      <w:jc w:val="left"/>
    </w:pPr>
    <w:rPr>
      <w:rFonts w:ascii="宋体"/>
      <w:snapToGrid w:val="0"/>
      <w:kern w:val="0"/>
      <w:sz w:val="20"/>
      <w:szCs w:val="20"/>
    </w:rPr>
  </w:style>
  <w:style w:type="paragraph" w:styleId="5">
    <w:name w:val="Body Text Indent"/>
    <w:basedOn w:val="1"/>
    <w:semiHidden/>
    <w:unhideWhenUsed/>
    <w:qFormat/>
    <w:uiPriority w:val="99"/>
    <w:pPr>
      <w:spacing w:after="120" w:afterLines="0" w:afterAutospacing="0"/>
      <w:ind w:left="420" w:leftChars="200"/>
    </w:pPr>
  </w:style>
  <w:style w:type="paragraph" w:styleId="6">
    <w:name w:val="Plain Text"/>
    <w:basedOn w:val="1"/>
    <w:next w:val="1"/>
    <w:semiHidden/>
    <w:unhideWhenUsed/>
    <w:qFormat/>
    <w:uiPriority w:val="99"/>
    <w:pPr>
      <w:keepNext w:val="0"/>
      <w:keepLines w:val="0"/>
      <w:widowControl w:val="0"/>
      <w:suppressLineNumbers w:val="0"/>
      <w:adjustRightInd w:val="0"/>
      <w:snapToGrid w:val="0"/>
      <w:spacing w:before="0" w:beforeAutospacing="0" w:after="0" w:afterAutospacing="0" w:line="420" w:lineRule="atLeast"/>
      <w:ind w:left="0" w:right="0" w:firstLine="482" w:firstLineChars="200"/>
      <w:jc w:val="both"/>
    </w:pPr>
    <w:rPr>
      <w:rFonts w:hint="eastAsia" w:ascii="宋体" w:hAnsi="Courier New" w:eastAsia="宋体" w:cs="Courier New"/>
      <w:bCs/>
      <w:kern w:val="2"/>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11">
    <w:name w:val="Strong"/>
    <w:basedOn w:val="10"/>
    <w:qFormat/>
    <w:uiPriority w:val="0"/>
    <w:rPr>
      <w:b/>
      <w:bCs/>
    </w:rPr>
  </w:style>
  <w:style w:type="table" w:customStyle="1" w:styleId="12">
    <w:name w:val="网格型1"/>
    <w:basedOn w:val="9"/>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11001</Words>
  <Characters>11529</Characters>
  <Lines>0</Lines>
  <Paragraphs>0</Paragraphs>
  <TotalTime>60</TotalTime>
  <ScaleCrop>false</ScaleCrop>
  <LinksUpToDate>false</LinksUpToDate>
  <CharactersWithSpaces>11721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2026-03-13T02:12:00Z</dcterms:created>
  <dc:creator>Administrator</dc:creator>
  <cp:lastModifiedBy>Administrator</cp:lastModifiedBy>
  <dcterms:modified xsi:type="dcterms:W3CDTF">2026-03-14T14:14:21Z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9B78D40D7ED5406DB1F1DF6609D59B69_11</vt:lpwstr>
  </property>
  <property fmtid="{D5CDD505-2E9C-101B-9397-08002B2CF9AE}" pid="4" name="KSOTemplateDocerSaveRecord">
    <vt:lpwstr>eyJoZGlkIjoiNzFhNDg1ZDVlZWE4NGU3NDYwNTgzNjEwYzVkZmVlYjYiLCJ1c2VySWQiOiI1MjIwNzY5MDIifQ==</vt:lpwstr>
  </property>
</Properties>
</file>