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AF85A">
      <w:pPr>
        <w:pStyle w:val="2"/>
        <w:spacing w:before="91" w:line="228" w:lineRule="auto"/>
        <w:jc w:val="center"/>
        <w:outlineLvl w:val="0"/>
        <w:rPr>
          <w:rFonts w:hint="eastAsia" w:ascii="仿宋" w:hAnsi="仿宋" w:eastAsia="仿宋" w:cs="仿宋"/>
          <w:b/>
          <w:bCs/>
          <w:spacing w:val="-2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20"/>
          <w:sz w:val="44"/>
          <w:szCs w:val="44"/>
          <w:lang w:val="en-US" w:eastAsia="zh-CN"/>
        </w:rPr>
        <w:t>运行维护服务工作内容及设备信息</w:t>
      </w:r>
      <w:bookmarkStart w:id="0" w:name="_GoBack"/>
      <w:bookmarkEnd w:id="0"/>
    </w:p>
    <w:p w14:paraId="38A93921">
      <w:pPr>
        <w:pStyle w:val="2"/>
        <w:spacing w:before="91" w:line="228" w:lineRule="auto"/>
        <w:outlineLvl w:val="0"/>
        <w:rPr>
          <w:rFonts w:hint="eastAsia" w:ascii="仿宋" w:hAnsi="仿宋" w:eastAsia="仿宋" w:cs="仿宋"/>
          <w:b/>
          <w:bCs/>
          <w:spacing w:val="-2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pacing w:val="-20"/>
          <w:sz w:val="32"/>
          <w:szCs w:val="32"/>
          <w:lang w:eastAsia="zh-CN"/>
        </w:rPr>
        <w:t>设备信息</w:t>
      </w:r>
    </w:p>
    <w:tbl>
      <w:tblPr>
        <w:tblStyle w:val="3"/>
        <w:tblpPr w:leftFromText="180" w:rightFromText="180" w:vertAnchor="page" w:horzAnchor="page" w:tblpX="1537" w:tblpY="2808"/>
        <w:tblOverlap w:val="never"/>
        <w:tblW w:w="9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08"/>
        <w:gridCol w:w="2242"/>
        <w:gridCol w:w="1528"/>
        <w:gridCol w:w="793"/>
        <w:gridCol w:w="2783"/>
        <w:gridCol w:w="791"/>
      </w:tblGrid>
      <w:tr w14:paraId="320B5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5" w:hRule="exact"/>
        </w:trPr>
        <w:tc>
          <w:tcPr>
            <w:tcW w:w="1008" w:type="dxa"/>
            <w:shd w:val="clear" w:color="auto" w:fill="FFFFFF"/>
            <w:noWrap w:val="0"/>
            <w:vAlign w:val="center"/>
          </w:tcPr>
          <w:p w14:paraId="736BA712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项目</w:t>
            </w:r>
          </w:p>
        </w:tc>
        <w:tc>
          <w:tcPr>
            <w:tcW w:w="2242" w:type="dxa"/>
            <w:shd w:val="clear" w:color="auto" w:fill="FFFFFF"/>
            <w:noWrap w:val="0"/>
            <w:vAlign w:val="center"/>
          </w:tcPr>
          <w:p w14:paraId="1D772CDF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设备</w:t>
            </w:r>
          </w:p>
        </w:tc>
        <w:tc>
          <w:tcPr>
            <w:tcW w:w="1528" w:type="dxa"/>
            <w:shd w:val="clear" w:color="auto" w:fill="FFFFFF"/>
            <w:noWrap w:val="0"/>
            <w:vAlign w:val="center"/>
          </w:tcPr>
          <w:p w14:paraId="67475D55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型号</w:t>
            </w:r>
          </w:p>
        </w:tc>
        <w:tc>
          <w:tcPr>
            <w:tcW w:w="793" w:type="dxa"/>
            <w:shd w:val="clear" w:color="auto" w:fill="FFFFFF"/>
            <w:noWrap w:val="0"/>
            <w:vAlign w:val="center"/>
          </w:tcPr>
          <w:p w14:paraId="642BDF43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数量</w:t>
            </w:r>
          </w:p>
        </w:tc>
        <w:tc>
          <w:tcPr>
            <w:tcW w:w="2783" w:type="dxa"/>
            <w:shd w:val="clear" w:color="auto" w:fill="FFFFFF"/>
            <w:noWrap w:val="0"/>
            <w:vAlign w:val="center"/>
          </w:tcPr>
          <w:p w14:paraId="677AC8CC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设备厂家</w:t>
            </w:r>
          </w:p>
        </w:tc>
        <w:tc>
          <w:tcPr>
            <w:tcW w:w="791" w:type="dxa"/>
            <w:shd w:val="clear" w:color="auto" w:fill="FFFFFF"/>
            <w:noWrap w:val="0"/>
            <w:vAlign w:val="center"/>
          </w:tcPr>
          <w:p w14:paraId="5E8A8072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4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备注</w:t>
            </w:r>
          </w:p>
        </w:tc>
      </w:tr>
      <w:tr w14:paraId="770D0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</w:trPr>
        <w:tc>
          <w:tcPr>
            <w:tcW w:w="1008" w:type="dxa"/>
            <w:vMerge w:val="restart"/>
            <w:shd w:val="clear" w:color="auto" w:fill="FFFFFF"/>
            <w:noWrap w:val="0"/>
            <w:vAlign w:val="center"/>
          </w:tcPr>
          <w:p w14:paraId="50B72441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2" w:lineRule="exact"/>
              <w:ind w:left="0" w:right="0" w:firstLine="14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总排口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在线监测设备运行维护</w:t>
            </w:r>
          </w:p>
        </w:tc>
        <w:tc>
          <w:tcPr>
            <w:tcW w:w="2242" w:type="dxa"/>
            <w:shd w:val="clear" w:color="auto" w:fill="FFFFFF"/>
            <w:noWrap w:val="0"/>
            <w:vAlign w:val="center"/>
          </w:tcPr>
          <w:p w14:paraId="474F5A1D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COD</w:t>
            </w:r>
          </w:p>
        </w:tc>
        <w:tc>
          <w:tcPr>
            <w:tcW w:w="1528" w:type="dxa"/>
            <w:shd w:val="clear" w:color="auto" w:fill="FFFFFF"/>
            <w:noWrap w:val="0"/>
            <w:vAlign w:val="center"/>
          </w:tcPr>
          <w:p w14:paraId="68D5E987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CODcr</w:t>
            </w:r>
          </w:p>
        </w:tc>
        <w:tc>
          <w:tcPr>
            <w:tcW w:w="793" w:type="dxa"/>
            <w:shd w:val="clear" w:color="auto" w:fill="FFFFFF"/>
            <w:noWrap w:val="0"/>
            <w:vAlign w:val="center"/>
          </w:tcPr>
          <w:p w14:paraId="19FF93AD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3" w:type="dxa"/>
            <w:shd w:val="clear" w:color="auto" w:fill="FFFFFF"/>
            <w:noWrap w:val="0"/>
            <w:vAlign w:val="center"/>
          </w:tcPr>
          <w:p w14:paraId="3AB8B6F5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5" w:lineRule="exact"/>
              <w:ind w:left="0" w:right="0" w:firstLine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桂林云璟</w:t>
            </w:r>
          </w:p>
        </w:tc>
        <w:tc>
          <w:tcPr>
            <w:tcW w:w="791" w:type="dxa"/>
            <w:vMerge w:val="restart"/>
            <w:shd w:val="clear" w:color="auto" w:fill="FFFFFF"/>
            <w:noWrap w:val="0"/>
            <w:vAlign w:val="center"/>
          </w:tcPr>
          <w:p w14:paraId="1008CDB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2571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exact"/>
        </w:trPr>
        <w:tc>
          <w:tcPr>
            <w:tcW w:w="1008" w:type="dxa"/>
            <w:vMerge w:val="continue"/>
            <w:shd w:val="clear" w:color="auto" w:fill="FFFFFF"/>
            <w:noWrap w:val="0"/>
            <w:vAlign w:val="center"/>
          </w:tcPr>
          <w:p w14:paraId="32DB09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FFFFFF"/>
            <w:noWrap w:val="0"/>
            <w:vAlign w:val="center"/>
          </w:tcPr>
          <w:p w14:paraId="6EB7738D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氨氮</w:t>
            </w:r>
          </w:p>
        </w:tc>
        <w:tc>
          <w:tcPr>
            <w:tcW w:w="1528" w:type="dxa"/>
            <w:shd w:val="clear" w:color="auto" w:fill="FFFFFF"/>
            <w:noWrap w:val="0"/>
            <w:vAlign w:val="center"/>
          </w:tcPr>
          <w:p w14:paraId="221A4AB5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NH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-N-C</w:t>
            </w:r>
          </w:p>
        </w:tc>
        <w:tc>
          <w:tcPr>
            <w:tcW w:w="793" w:type="dxa"/>
            <w:shd w:val="clear" w:color="auto" w:fill="FFFFFF"/>
            <w:noWrap w:val="0"/>
            <w:vAlign w:val="center"/>
          </w:tcPr>
          <w:p w14:paraId="349B08EA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3" w:type="dxa"/>
            <w:shd w:val="clear" w:color="auto" w:fill="FFFFFF"/>
            <w:noWrap w:val="0"/>
            <w:vAlign w:val="center"/>
          </w:tcPr>
          <w:p w14:paraId="72984E3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河北华厚天成</w:t>
            </w:r>
          </w:p>
        </w:tc>
        <w:tc>
          <w:tcPr>
            <w:tcW w:w="791" w:type="dxa"/>
            <w:vMerge w:val="continue"/>
            <w:shd w:val="clear" w:color="auto" w:fill="FFFFFF"/>
            <w:noWrap w:val="0"/>
            <w:vAlign w:val="center"/>
          </w:tcPr>
          <w:p w14:paraId="78CE73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B00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5" w:hRule="exact"/>
        </w:trPr>
        <w:tc>
          <w:tcPr>
            <w:tcW w:w="1008" w:type="dxa"/>
            <w:vMerge w:val="continue"/>
            <w:shd w:val="clear" w:color="auto" w:fill="FFFFFF"/>
            <w:noWrap w:val="0"/>
            <w:vAlign w:val="center"/>
          </w:tcPr>
          <w:p w14:paraId="586083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FFFFFF"/>
            <w:noWrap w:val="0"/>
            <w:vAlign w:val="center"/>
          </w:tcPr>
          <w:p w14:paraId="4583DF48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悬浮物</w:t>
            </w:r>
          </w:p>
        </w:tc>
        <w:tc>
          <w:tcPr>
            <w:tcW w:w="1528" w:type="dxa"/>
            <w:shd w:val="clear" w:color="auto" w:fill="FFFFFF"/>
            <w:noWrap w:val="0"/>
            <w:vAlign w:val="center"/>
          </w:tcPr>
          <w:p w14:paraId="3A1771D9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ESS11AC</w:t>
            </w:r>
          </w:p>
        </w:tc>
        <w:tc>
          <w:tcPr>
            <w:tcW w:w="793" w:type="dxa"/>
            <w:shd w:val="clear" w:color="auto" w:fill="FFFFFF"/>
            <w:noWrap w:val="0"/>
            <w:vAlign w:val="center"/>
          </w:tcPr>
          <w:p w14:paraId="3CCE52AA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3" w:type="dxa"/>
            <w:shd w:val="clear" w:color="auto" w:fill="FFFFFF"/>
            <w:noWrap w:val="0"/>
            <w:vAlign w:val="center"/>
          </w:tcPr>
          <w:p w14:paraId="3E59279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天健创新</w:t>
            </w:r>
          </w:p>
        </w:tc>
        <w:tc>
          <w:tcPr>
            <w:tcW w:w="791" w:type="dxa"/>
            <w:vMerge w:val="continue"/>
            <w:shd w:val="clear" w:color="auto" w:fill="FFFFFF"/>
            <w:noWrap w:val="0"/>
            <w:vAlign w:val="center"/>
          </w:tcPr>
          <w:p w14:paraId="1E13FF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D25E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5" w:hRule="exact"/>
        </w:trPr>
        <w:tc>
          <w:tcPr>
            <w:tcW w:w="1008" w:type="dxa"/>
            <w:vMerge w:val="continue"/>
            <w:shd w:val="clear" w:color="auto" w:fill="FFFFFF"/>
            <w:noWrap w:val="0"/>
            <w:vAlign w:val="center"/>
          </w:tcPr>
          <w:p w14:paraId="66D1DB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FFFFFF"/>
            <w:noWrap w:val="0"/>
            <w:vAlign w:val="center"/>
          </w:tcPr>
          <w:p w14:paraId="77F69203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余氯</w:t>
            </w:r>
          </w:p>
        </w:tc>
        <w:tc>
          <w:tcPr>
            <w:tcW w:w="1528" w:type="dxa"/>
            <w:shd w:val="clear" w:color="auto" w:fill="FFFFFF"/>
            <w:noWrap w:val="0"/>
            <w:vAlign w:val="center"/>
          </w:tcPr>
          <w:p w14:paraId="31AA3752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  <w:t>CL750M</w:t>
            </w:r>
          </w:p>
        </w:tc>
        <w:tc>
          <w:tcPr>
            <w:tcW w:w="793" w:type="dxa"/>
            <w:shd w:val="clear" w:color="auto" w:fill="FFFFFF"/>
            <w:noWrap w:val="0"/>
            <w:vAlign w:val="center"/>
          </w:tcPr>
          <w:p w14:paraId="7D5C5788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3" w:type="dxa"/>
            <w:shd w:val="clear" w:color="auto" w:fill="FFFFFF"/>
            <w:noWrap w:val="0"/>
            <w:vAlign w:val="center"/>
          </w:tcPr>
          <w:p w14:paraId="6554D5B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河南绥净</w:t>
            </w:r>
          </w:p>
        </w:tc>
        <w:tc>
          <w:tcPr>
            <w:tcW w:w="791" w:type="dxa"/>
            <w:vMerge w:val="continue"/>
            <w:shd w:val="clear" w:color="auto" w:fill="FFFFFF"/>
            <w:noWrap w:val="0"/>
            <w:vAlign w:val="center"/>
          </w:tcPr>
          <w:p w14:paraId="2F09BB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23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5" w:hRule="exact"/>
        </w:trPr>
        <w:tc>
          <w:tcPr>
            <w:tcW w:w="1008" w:type="dxa"/>
            <w:vMerge w:val="continue"/>
            <w:shd w:val="clear" w:color="auto" w:fill="FFFFFF"/>
            <w:noWrap w:val="0"/>
            <w:vAlign w:val="center"/>
          </w:tcPr>
          <w:p w14:paraId="43E2B8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FFFFFF"/>
            <w:noWrap w:val="0"/>
            <w:vAlign w:val="center"/>
          </w:tcPr>
          <w:p w14:paraId="276A2016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PH</w:t>
            </w:r>
          </w:p>
        </w:tc>
        <w:tc>
          <w:tcPr>
            <w:tcW w:w="1528" w:type="dxa"/>
            <w:shd w:val="clear" w:color="auto" w:fill="FFFFFF"/>
            <w:noWrap w:val="0"/>
            <w:vAlign w:val="center"/>
          </w:tcPr>
          <w:p w14:paraId="7FE43993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  <w:t>MDC-PH</w:t>
            </w:r>
          </w:p>
        </w:tc>
        <w:tc>
          <w:tcPr>
            <w:tcW w:w="793" w:type="dxa"/>
            <w:shd w:val="clear" w:color="auto" w:fill="FFFFFF"/>
            <w:noWrap w:val="0"/>
            <w:vAlign w:val="center"/>
          </w:tcPr>
          <w:p w14:paraId="767C5137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3" w:type="dxa"/>
            <w:shd w:val="clear" w:color="auto" w:fill="FFFFFF"/>
            <w:noWrap w:val="0"/>
            <w:vAlign w:val="center"/>
          </w:tcPr>
          <w:p w14:paraId="370CCFA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杭州美仪</w:t>
            </w:r>
          </w:p>
        </w:tc>
        <w:tc>
          <w:tcPr>
            <w:tcW w:w="791" w:type="dxa"/>
            <w:vMerge w:val="continue"/>
            <w:shd w:val="clear" w:color="auto" w:fill="FFFFFF"/>
            <w:noWrap w:val="0"/>
            <w:vAlign w:val="center"/>
          </w:tcPr>
          <w:p w14:paraId="0932C0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B61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5" w:hRule="exact"/>
        </w:trPr>
        <w:tc>
          <w:tcPr>
            <w:tcW w:w="1008" w:type="dxa"/>
            <w:vMerge w:val="continue"/>
            <w:shd w:val="clear" w:color="auto" w:fill="FFFFFF"/>
            <w:noWrap w:val="0"/>
            <w:vAlign w:val="center"/>
          </w:tcPr>
          <w:p w14:paraId="41AD77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FFFFFF"/>
            <w:noWrap w:val="0"/>
            <w:vAlign w:val="center"/>
          </w:tcPr>
          <w:p w14:paraId="52909AE1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流量计</w:t>
            </w:r>
          </w:p>
        </w:tc>
        <w:tc>
          <w:tcPr>
            <w:tcW w:w="1528" w:type="dxa"/>
            <w:shd w:val="clear" w:color="auto" w:fill="FFFFFF"/>
            <w:noWrap w:val="0"/>
            <w:vAlign w:val="center"/>
          </w:tcPr>
          <w:p w14:paraId="19BB6B80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  <w:t>WL-1A2</w:t>
            </w:r>
          </w:p>
        </w:tc>
        <w:tc>
          <w:tcPr>
            <w:tcW w:w="793" w:type="dxa"/>
            <w:shd w:val="clear" w:color="auto" w:fill="FFFFFF"/>
            <w:noWrap w:val="0"/>
            <w:vAlign w:val="center"/>
          </w:tcPr>
          <w:p w14:paraId="0DC5024E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3" w:type="dxa"/>
            <w:shd w:val="clear" w:color="auto" w:fill="FFFFFF"/>
            <w:noWrap w:val="0"/>
            <w:vAlign w:val="center"/>
          </w:tcPr>
          <w:p w14:paraId="575A308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北京九波</w:t>
            </w:r>
          </w:p>
        </w:tc>
        <w:tc>
          <w:tcPr>
            <w:tcW w:w="791" w:type="dxa"/>
            <w:vMerge w:val="continue"/>
            <w:shd w:val="clear" w:color="auto" w:fill="FFFFFF"/>
            <w:noWrap w:val="0"/>
            <w:vAlign w:val="center"/>
          </w:tcPr>
          <w:p w14:paraId="60E2F9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48DC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5" w:hRule="exact"/>
        </w:trPr>
        <w:tc>
          <w:tcPr>
            <w:tcW w:w="1008" w:type="dxa"/>
            <w:vMerge w:val="continue"/>
            <w:shd w:val="clear" w:color="auto" w:fill="FFFFFF"/>
            <w:noWrap w:val="0"/>
            <w:vAlign w:val="center"/>
          </w:tcPr>
          <w:p w14:paraId="495B0E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FFFFFF"/>
            <w:noWrap w:val="0"/>
            <w:vAlign w:val="center"/>
          </w:tcPr>
          <w:p w14:paraId="39868200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数采仪</w:t>
            </w:r>
          </w:p>
        </w:tc>
        <w:tc>
          <w:tcPr>
            <w:tcW w:w="1528" w:type="dxa"/>
            <w:shd w:val="clear" w:color="auto" w:fill="FFFFFF"/>
            <w:noWrap w:val="0"/>
            <w:vAlign w:val="center"/>
          </w:tcPr>
          <w:p w14:paraId="1264B690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  <w:t>W5100HB-III</w:t>
            </w:r>
          </w:p>
        </w:tc>
        <w:tc>
          <w:tcPr>
            <w:tcW w:w="793" w:type="dxa"/>
            <w:shd w:val="clear" w:color="auto" w:fill="FFFFFF"/>
            <w:noWrap w:val="0"/>
            <w:vAlign w:val="center"/>
          </w:tcPr>
          <w:p w14:paraId="3E5F82D0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3" w:type="dxa"/>
            <w:shd w:val="clear" w:color="auto" w:fill="FFFFFF"/>
            <w:noWrap w:val="0"/>
            <w:vAlign w:val="center"/>
          </w:tcPr>
          <w:p w14:paraId="42DD4D5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北京万维</w:t>
            </w:r>
          </w:p>
        </w:tc>
        <w:tc>
          <w:tcPr>
            <w:tcW w:w="791" w:type="dxa"/>
            <w:vMerge w:val="continue"/>
            <w:shd w:val="clear" w:color="auto" w:fill="FFFFFF"/>
            <w:noWrap w:val="0"/>
            <w:vAlign w:val="center"/>
          </w:tcPr>
          <w:p w14:paraId="2C770F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1B891D4B"/>
    <w:p w14:paraId="3FCA332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textAlignment w:val="baseline"/>
        <w:outlineLvl w:val="0"/>
        <w:rPr>
          <w:rFonts w:hint="eastAsia" w:ascii="仿宋" w:hAnsi="仿宋" w:eastAsia="仿宋" w:cs="仿宋"/>
          <w:b/>
          <w:bCs/>
          <w:spacing w:val="-20"/>
          <w:sz w:val="32"/>
          <w:szCs w:val="32"/>
        </w:rPr>
      </w:pPr>
    </w:p>
    <w:p w14:paraId="5A7DEA2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textAlignment w:val="baseline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20"/>
          <w:sz w:val="32"/>
          <w:szCs w:val="32"/>
        </w:rPr>
        <w:t>日常巡检</w:t>
      </w:r>
    </w:p>
    <w:p w14:paraId="359DCFC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right="52" w:firstLine="624" w:firstLineChars="200"/>
        <w:jc w:val="both"/>
        <w:textAlignment w:val="baseline"/>
        <w:rPr>
          <w:rFonts w:hint="eastAsia" w:ascii="仿宋" w:hAnsi="仿宋" w:eastAsia="仿宋" w:cs="仿宋"/>
          <w:spacing w:val="-2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每周至少巡检一次，巡检记录包括检查项目、检查日期、被检项</w:t>
      </w:r>
      <w:r>
        <w:rPr>
          <w:rFonts w:hint="eastAsia"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目的运行状态等，每次巡检应记录并归档。日常巡检规程应包括该系</w:t>
      </w:r>
      <w:r>
        <w:rPr>
          <w:rFonts w:hint="eastAsia" w:ascii="仿宋" w:hAnsi="仿宋" w:eastAsia="仿宋" w:cs="仿宋"/>
          <w:spacing w:val="1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统的运行状况、工作状况、系统辅助设备的运行状况，系统校准工作</w:t>
      </w:r>
      <w:r>
        <w:rPr>
          <w:rFonts w:hint="eastAsia" w:ascii="仿宋" w:hAnsi="仿宋" w:eastAsia="仿宋" w:cs="仿宋"/>
          <w:spacing w:val="1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等必检项目和记录。</w:t>
      </w:r>
    </w:p>
    <w:p w14:paraId="153415D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right="52"/>
        <w:jc w:val="both"/>
        <w:textAlignment w:val="baseline"/>
        <w:rPr>
          <w:rFonts w:hint="eastAsia" w:ascii="仿宋" w:hAnsi="仿宋" w:eastAsia="仿宋" w:cs="仿宋"/>
          <w:b/>
          <w:bCs/>
          <w:spacing w:val="-1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14"/>
          <w:sz w:val="32"/>
          <w:szCs w:val="32"/>
        </w:rPr>
        <w:t>日常维护保养</w:t>
      </w:r>
    </w:p>
    <w:p w14:paraId="7D0323D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right="52" w:firstLine="620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5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日常维护保养应根据自动监控设施说明书的要求对保养内容、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保养周期或耗材更换周期等作出明确规定，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每次保养情况应记录并归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档。每次进行备件或材料刚换时，更换的备件或材料的品名、规格、</w:t>
      </w:r>
      <w:r>
        <w:rPr>
          <w:rFonts w:hint="eastAsia" w:ascii="仿宋" w:hAnsi="仿宋" w:eastAsia="仿宋" w:cs="仿宋"/>
          <w:spacing w:val="1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数量等应记录并归档。</w:t>
      </w:r>
    </w:p>
    <w:p w14:paraId="120EA82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right="52" w:rightChars="0" w:firstLine="632" w:firstLineChars="200"/>
        <w:jc w:val="both"/>
        <w:textAlignment w:val="baseline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对日常巡检或保养中发现的故障和问题，系统管理维护人员</w:t>
      </w:r>
      <w:r>
        <w:rPr>
          <w:rFonts w:hint="eastAsia" w:ascii="仿宋" w:hAnsi="仿宋" w:eastAsia="仿宋" w:cs="仿宋"/>
          <w:spacing w:val="-4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小时内向业主汇报，并及时处理、记录。对于容易排除的故障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，在</w:t>
      </w:r>
      <w:r>
        <w:rPr>
          <w:rFonts w:hint="eastAsia" w:ascii="仿宋" w:hAnsi="仿宋" w:eastAsia="仿宋" w:cs="仿宋"/>
          <w:spacing w:val="-7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 xml:space="preserve"> 小时内及时解决。对不易维修的仪器故障，若</w:t>
      </w:r>
      <w:r>
        <w:rPr>
          <w:rFonts w:hint="eastAsia"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24</w:t>
      </w:r>
      <w:r>
        <w:rPr>
          <w:rFonts w:hint="eastAsia" w:ascii="仿宋" w:hAnsi="仿宋" w:eastAsia="仿宋" w:cs="仿宋"/>
          <w:spacing w:val="-38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小时内无法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排除，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报备环保局。</w:t>
      </w:r>
    </w:p>
    <w:p w14:paraId="0CDFD41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right="52" w:rightChars="0"/>
        <w:jc w:val="both"/>
        <w:textAlignment w:val="baseline"/>
        <w:rPr>
          <w:rFonts w:hint="eastAsia" w:ascii="仿宋" w:hAnsi="仿宋" w:eastAsia="仿宋" w:cs="仿宋"/>
          <w:b/>
          <w:bCs/>
          <w:spacing w:val="-9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9"/>
          <w:sz w:val="32"/>
          <w:szCs w:val="32"/>
        </w:rPr>
        <w:t>定期维护</w:t>
      </w:r>
    </w:p>
    <w:p w14:paraId="4AFF3AD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9" w:line="480" w:lineRule="exact"/>
        <w:ind w:leftChars="0" w:right="32" w:rightChars="0" w:firstLine="624" w:firstLineChars="200"/>
        <w:textAlignment w:val="baseline"/>
        <w:rPr>
          <w:rFonts w:hint="eastAsia" w:ascii="仿宋" w:hAnsi="仿宋" w:eastAsia="仿宋" w:cs="仿宋"/>
          <w:spacing w:val="-4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每周检查各台自动分析仪及辅助设备的运行状态和主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要技术参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数，判断运行是否正常；检查内部管路是否通畅，仪器自动清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洗装置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是否运行正常，检查各自动分析仪的排水管是否清洁，清洗水泵和过</w:t>
      </w:r>
      <w:r>
        <w:rPr>
          <w:rFonts w:hint="eastAsia"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滤网；检查站房内的电路系统、通讯系统是否正常；对于电极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法测量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的仪器，检查标准溶液和电极填充液，进行电极探头的清洗；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检查各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仪器标准溶液和试剂是否在有效期内，按相关要求定期刚换标准溶液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和分析试剂；检查数据采集仪运行情况，对数据进行抽样检查，对比</w:t>
      </w:r>
      <w:r>
        <w:rPr>
          <w:rFonts w:hint="eastAsia"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自动分析仪、数据采集仪接受到的数据是否一致。</w:t>
      </w:r>
    </w:p>
    <w:p w14:paraId="553EB0F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9" w:line="480" w:lineRule="exact"/>
        <w:ind w:leftChars="0" w:right="32" w:rightChars="0" w:firstLine="624" w:firstLineChars="200"/>
        <w:textAlignment w:val="baseline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每月对电极法水质分析仪用酸液清洗一次电极，检查电极是否</w:t>
      </w:r>
      <w:r>
        <w:rPr>
          <w:rFonts w:hint="eastAsia" w:ascii="仿宋" w:hAnsi="仿宋" w:eastAsia="仿宋" w:cs="仿宋"/>
          <w:spacing w:val="1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钝化；检查水质分析仪内部试管是否污染，必要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时进行清洗；检查水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质分析仪气敏电极表面是否清洁，对仪器管路进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行保养、清洁；对监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控设施进行保养，对水泵和取水管路、配水和进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水系统、仪器分析系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统进行维护。</w:t>
      </w:r>
    </w:p>
    <w:p w14:paraId="76EA372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9" w:line="480" w:lineRule="exact"/>
        <w:ind w:leftChars="0" w:right="32" w:rightChars="0" w:firstLine="628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每季度检查水质分析仪水样导管、排水导管、活塞和密闭圈，</w:t>
      </w:r>
      <w:r>
        <w:rPr>
          <w:rFonts w:hint="eastAsia"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必要时进行更换。</w:t>
      </w:r>
    </w:p>
    <w:p w14:paraId="047D727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9"/>
          <w:sz w:val="32"/>
          <w:szCs w:val="32"/>
        </w:rPr>
        <w:t>定期校准</w:t>
      </w:r>
    </w:p>
    <w:p w14:paraId="4F0ACDF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right="32" w:firstLine="644" w:firstLineChars="200"/>
        <w:jc w:val="both"/>
        <w:textAlignment w:val="baseline"/>
        <w:rPr>
          <w:rFonts w:hint="eastAsia" w:ascii="仿宋" w:hAnsi="仿宋" w:eastAsia="仿宋" w:cs="仿宋"/>
          <w:spacing w:val="-3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每月进行一次实际水样比对试验和质控样试验，进行一次现场校</w:t>
      </w:r>
      <w:r>
        <w:rPr>
          <w:rFonts w:hint="eastAsia" w:ascii="仿宋" w:hAnsi="仿宋" w:eastAsia="仿宋" w:cs="仿宋"/>
          <w:spacing w:val="1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验，可自动校准和手工校准。质控样测定的相对误差不大于标准值的</w:t>
      </w:r>
      <w:r>
        <w:rPr>
          <w:rFonts w:hint="eastAsia"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±10％。</w:t>
      </w:r>
    </w:p>
    <w:p w14:paraId="01ED108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right="32"/>
        <w:jc w:val="both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-12"/>
          <w:sz w:val="32"/>
          <w:szCs w:val="32"/>
        </w:rPr>
        <w:t>比对监测</w:t>
      </w:r>
    </w:p>
    <w:p w14:paraId="2980A08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480" w:lineRule="exact"/>
        <w:ind w:left="450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配合环保局季度飞行抽检比对工作。</w:t>
      </w:r>
    </w:p>
    <w:p w14:paraId="304A9A6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textAlignment w:val="baseline"/>
        <w:rPr>
          <w:rFonts w:hint="eastAsia" w:ascii="仿宋" w:hAnsi="仿宋" w:eastAsia="仿宋" w:cs="仿宋"/>
          <w:b/>
          <w:bCs/>
          <w:spacing w:val="-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现场记录填写</w:t>
      </w:r>
    </w:p>
    <w:p w14:paraId="0C6396E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480" w:lineRule="exact"/>
        <w:ind w:firstLine="616" w:firstLineChars="200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pacing w:val="-6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自动监控仪器运行维护日常巡检表</w:t>
      </w:r>
    </w:p>
    <w:p w14:paraId="11C7707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480" w:lineRule="exact"/>
        <w:ind w:firstLine="612" w:firstLineChars="200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-7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自动监控仪器检修记录表</w:t>
      </w:r>
    </w:p>
    <w:p w14:paraId="6F2411E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firstLine="616" w:firstLineChars="200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自动监控仪器校准校验记录表</w:t>
      </w:r>
    </w:p>
    <w:p w14:paraId="6F0177B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1" w:line="480" w:lineRule="exact"/>
        <w:ind w:firstLine="636" w:firstLineChars="200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易耗品更换记录表</w:t>
      </w:r>
    </w:p>
    <w:p w14:paraId="373F486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firstLine="636" w:firstLineChars="200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异常数据记录本</w:t>
      </w:r>
    </w:p>
    <w:p w14:paraId="3D83204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firstLine="636" w:firstLineChars="200"/>
        <w:textAlignment w:val="baseline"/>
        <w:rPr>
          <w:rFonts w:hint="eastAsia"/>
          <w:lang w:val="en-US" w:eastAsia="en-US"/>
        </w:rPr>
      </w:pP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废液处理记录表</w:t>
      </w:r>
    </w:p>
    <w:p w14:paraId="025250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textAlignment w:val="baseline"/>
        <w:rPr>
          <w:rFonts w:hint="eastAsia" w:ascii="仿宋" w:hAnsi="仿宋" w:eastAsia="仿宋" w:cs="仿宋"/>
          <w:b/>
          <w:bCs/>
          <w:spacing w:val="-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设备故障的处理</w:t>
      </w:r>
    </w:p>
    <w:p w14:paraId="1E61099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628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(1)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一般故障应急措施</w:t>
      </w:r>
    </w:p>
    <w:p w14:paraId="3702D81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firstLine="632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1.发现故障或接到故障通知，迅速给予响应；</w:t>
      </w:r>
    </w:p>
    <w:p w14:paraId="63ACA0B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80" w:lineRule="exact"/>
        <w:ind w:right="23" w:rightChars="0" w:firstLine="628" w:firstLineChars="200"/>
        <w:jc w:val="both"/>
        <w:textAlignment w:val="baseline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对于一般易于诊断的小故障，携带工具或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备件现场进行针对性的维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2"/>
          <w:sz w:val="32"/>
          <w:szCs w:val="32"/>
        </w:rPr>
        <w:t>修，24</w:t>
      </w:r>
      <w:r>
        <w:rPr>
          <w:rFonts w:hint="eastAsia" w:ascii="仿宋" w:hAnsi="仿宋" w:eastAsia="仿宋" w:cs="仿宋"/>
          <w:spacing w:val="-2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2"/>
          <w:sz w:val="32"/>
          <w:szCs w:val="32"/>
        </w:rPr>
        <w:t>小时内排除，填写故障记录本并有运营负责人签字，向业主</w:t>
      </w:r>
      <w:r>
        <w:rPr>
          <w:rFonts w:hint="eastAsia" w:ascii="仿宋" w:hAnsi="仿宋" w:eastAsia="仿宋" w:cs="仿宋"/>
          <w:sz w:val="32"/>
          <w:szCs w:val="32"/>
        </w:rPr>
        <w:t>方报告。若</w:t>
      </w:r>
      <w:r>
        <w:rPr>
          <w:rFonts w:hint="eastAsia"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48</w:t>
      </w:r>
      <w:r>
        <w:rPr>
          <w:rFonts w:hint="eastAsia" w:ascii="仿宋" w:hAnsi="仿宋" w:eastAsia="仿宋" w:cs="仿宋"/>
          <w:spacing w:val="-38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小时内仍无法修复仪器故障，向业主方及环保部门申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请安装具有环保部门认证的备有仪器。</w:t>
      </w:r>
    </w:p>
    <w:p w14:paraId="6FC8C4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lang w:val="en-US" w:eastAsia="en-US"/>
        </w:rPr>
      </w:pPr>
    </w:p>
    <w:p w14:paraId="3B59FEE2">
      <w:pPr>
        <w:pStyle w:val="2"/>
        <w:numPr>
          <w:ilvl w:val="0"/>
          <w:numId w:val="0"/>
        </w:numPr>
        <w:spacing w:line="240" w:lineRule="auto"/>
        <w:ind w:left="0" w:leftChars="0" w:right="0" w:rightChars="0" w:firstLine="58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5"/>
          <w:sz w:val="32"/>
          <w:szCs w:val="32"/>
          <w:lang w:val="en-US" w:eastAsia="zh-CN"/>
        </w:rPr>
        <w:t>(2)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仪器故障处理流</w:t>
      </w:r>
      <w:r>
        <w:rPr>
          <w:rFonts w:hint="eastAsia" w:ascii="仿宋" w:hAnsi="仿宋" w:eastAsia="仿宋" w:cs="仿宋"/>
          <w:spacing w:val="-15"/>
          <w:sz w:val="32"/>
          <w:szCs w:val="32"/>
          <w:lang w:eastAsia="zh-CN"/>
        </w:rPr>
        <w:t>程</w:t>
      </w:r>
    </w:p>
    <w:p w14:paraId="2AC95D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</w:pPr>
      <w:r>
        <w:rPr>
          <w:position w:val="-10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484505</wp:posOffset>
            </wp:positionV>
            <wp:extent cx="5419725" cy="3497580"/>
            <wp:effectExtent l="0" t="0" r="9525" b="7620"/>
            <wp:wrapSquare wrapText="bothSides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A13E22"/>
    <w:rsid w:val="06380C2D"/>
    <w:rsid w:val="0F417ECF"/>
    <w:rsid w:val="132B57EE"/>
    <w:rsid w:val="163C6526"/>
    <w:rsid w:val="18FC27B3"/>
    <w:rsid w:val="1C0B1018"/>
    <w:rsid w:val="22E35A6E"/>
    <w:rsid w:val="32EA4287"/>
    <w:rsid w:val="3B642DE1"/>
    <w:rsid w:val="49DB7DE9"/>
    <w:rsid w:val="4D584ABC"/>
    <w:rsid w:val="5394300C"/>
    <w:rsid w:val="540208BE"/>
    <w:rsid w:val="56DF6A2D"/>
    <w:rsid w:val="5CC5727B"/>
    <w:rsid w:val="63423CA4"/>
    <w:rsid w:val="6E487FD5"/>
    <w:rsid w:val="77D12437"/>
    <w:rsid w:val="7A431165"/>
    <w:rsid w:val="7B143B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楷体" w:hAnsi="楷体" w:eastAsia="楷体" w:cs="楷体"/>
      <w:sz w:val="24"/>
      <w:szCs w:val="24"/>
      <w:lang w:val="en-US" w:eastAsia="en-US" w:bidi="ar-SA"/>
    </w:rPr>
  </w:style>
  <w:style w:type="paragraph" w:customStyle="1" w:styleId="7">
    <w:name w:val="Other|1"/>
    <w:basedOn w:val="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1064</Words>
  <Characters>1098</Characters>
  <TotalTime>0</TotalTime>
  <ScaleCrop>false</ScaleCrop>
  <LinksUpToDate>false</LinksUpToDate>
  <CharactersWithSpaces>1129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2023-01-17T19:58:00Z</dcterms:created>
  <dc:creator>　　　　　　　　　　　　</dc:creator>
  <cp:lastModifiedBy>Administrator</cp:lastModifiedBy>
  <dcterms:modified xsi:type="dcterms:W3CDTF">2026-07-13T03:50:21Z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2024-12-20T15:29:37Z</vt:filetime>
  </property>
  <property fmtid="{D5CDD505-2E9C-101B-9397-08002B2CF9AE}" pid="4" name="KSOProductBuildVer">
    <vt:lpwstr>2052-12.1.0.26895</vt:lpwstr>
  </property>
  <property fmtid="{D5CDD505-2E9C-101B-9397-08002B2CF9AE}" pid="5" name="ICV">
    <vt:lpwstr>6DA3598145F0434CB8AA0C8FD0449788_13</vt:lpwstr>
  </property>
  <property fmtid="{D5CDD505-2E9C-101B-9397-08002B2CF9AE}" pid="6" name="KSOTemplateDocerSaveRecord">
    <vt:lpwstr>eyJoZGlkIjoiYjllNTFlYTM5YzI1YTk3NzY2YjdmZmZhMzFlNTdjZTAifQ==</vt:lpwstr>
  </property>
</Properties>
</file>